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55"/>
      </w:pPr>
      <w:r>
        <w:rPr/>
        <w:t>Produktinformation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5050"/>
      </w:tblGrid>
      <w:tr>
        <w:trPr>
          <w:trHeight w:val="938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Produktbezeichnung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doc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nature’s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BIO-MORINGA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OLEIFERA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Blattpulver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Marke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doc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phytolabor</w:t>
            </w:r>
          </w:p>
        </w:tc>
      </w:tr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Inhalt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100 g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Status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Lebensmittel</w:t>
            </w:r>
          </w:p>
        </w:tc>
      </w:tr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5619371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18264337</w:t>
            </w:r>
          </w:p>
        </w:tc>
      </w:tr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(Stück)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4024691375878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Anwendungsgebiet:/Anwendung: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Moringa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Oleifera;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Meerrettichbaum</w:t>
            </w:r>
          </w:p>
        </w:tc>
      </w:tr>
      <w:tr>
        <w:trPr>
          <w:trHeight w:val="2594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Kurztext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BIO-MORINGA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OLEIFERA</w:t>
            </w:r>
          </w:p>
          <w:p>
            <w:pPr>
              <w:pStyle w:val="TableParagraph"/>
              <w:ind w:right="30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(Meerrettichbaum)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Blattpulver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Anbau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glutenfrei,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laktosefrei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hefefrei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vegan</w:t>
            </w:r>
          </w:p>
        </w:tc>
      </w:tr>
      <w:tr>
        <w:trPr>
          <w:trHeight w:val="6457" w:hRule="atLeast"/>
        </w:trPr>
        <w:tc>
          <w:tcPr>
            <w:tcW w:w="4986" w:type="dxa"/>
          </w:tcPr>
          <w:p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Langtext</w:t>
            </w:r>
          </w:p>
        </w:tc>
        <w:tc>
          <w:tcPr>
            <w:tcW w:w="5050" w:type="dxa"/>
          </w:tcPr>
          <w:p>
            <w:pPr>
              <w:pStyle w:val="TableParagraph"/>
              <w:spacing w:before="54"/>
              <w:ind w:right="1486"/>
              <w:rPr>
                <w:sz w:val="24"/>
              </w:rPr>
            </w:pPr>
            <w:r>
              <w:rPr>
                <w:sz w:val="24"/>
              </w:rPr>
              <w:t>BIO-Moringa Oleifera - Blattpulver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Anbau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Moringa-Bäume gedeihen in den tropischen und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subtropischen Regionen der Erde. In 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Anbauländern gelten seine Blätter als wichtige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Nahrungsgrundlage, z.B. als Gemüse und Tee.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Unsere Moringa Oleifera-Produkte werden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werterhaltend 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schonend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verarbeitet.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GARANTIE</w:t>
            </w: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9785" cy="108508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62"/>
              <w:rPr>
                <w:sz w:val="24"/>
              </w:rPr>
            </w:pPr>
            <w:r>
              <w:rPr>
                <w:b/>
                <w:sz w:val="24"/>
              </w:rPr>
              <w:t>GESUND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LEBEN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Garantie: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Unsere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Produkte werden nach strengsten Richtlinien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hergestellt,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laufend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verlassen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unser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060" w:bottom="1215" w:left="980" w:right="100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2520"/>
        <w:gridCol w:w="2530"/>
      </w:tblGrid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Haus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frisch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allerbester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Qualität.</w:t>
            </w:r>
          </w:p>
        </w:tc>
      </w:tr>
      <w:tr>
        <w:trPr>
          <w:trHeight w:val="1488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Zubereitungsempfehlung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49"/>
              <w:ind w:right="88"/>
              <w:rPr>
                <w:sz w:val="24"/>
              </w:rPr>
            </w:pPr>
            <w:r>
              <w:rPr>
                <w:sz w:val="24"/>
              </w:rPr>
              <w:t>Zubereitungsempfehlung: 2-3 Teelöffel (5g = eine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Portion) Blattpulver in Getränken (Tee, Säfte,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Milchmix,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Smoothie),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Milchprodukten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(Joghurt,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Quark, Buttermilch u.a. oder über Suppen, Soßen,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Gemüsen,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Salaten,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Eier,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Pizza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o.a.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streuen.</w:t>
            </w:r>
          </w:p>
        </w:tc>
      </w:tr>
      <w:tr>
        <w:trPr>
          <w:trHeight w:val="2871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Zutaten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Moringa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Oleifera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Blattschnitt*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*aus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Anbau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72397" cy="58521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97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DE-ÖKO-039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Nicht-EU-Landwirtschaft</w:t>
            </w:r>
          </w:p>
        </w:tc>
      </w:tr>
      <w:tr>
        <w:trPr>
          <w:trHeight w:val="341" w:hRule="atLeast"/>
        </w:trPr>
        <w:tc>
          <w:tcPr>
            <w:tcW w:w="4986" w:type="dxa"/>
            <w:vMerge w:val="restart"/>
            <w:tcBorders>
              <w:right w:val="thinThickMediumGap" w:sz="1" w:space="0" w:color="000000"/>
            </w:tcBorders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Nährwerte</w:t>
            </w:r>
          </w:p>
          <w:p>
            <w:pPr>
              <w:pStyle w:val="TableParagraph"/>
              <w:spacing w:before="7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60697" cy="1237488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97" cy="123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78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Nährwertangabe</w:t>
            </w:r>
          </w:p>
        </w:tc>
        <w:tc>
          <w:tcPr>
            <w:tcW w:w="2530" w:type="dxa"/>
          </w:tcPr>
          <w:p>
            <w:pPr>
              <w:pStyle w:val="TableParagraph"/>
              <w:spacing w:before="7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100g</w:t>
            </w:r>
          </w:p>
        </w:tc>
      </w:tr>
      <w:tr>
        <w:trPr>
          <w:trHeight w:val="282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Brennwert: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940kJ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382kcal</w:t>
            </w:r>
          </w:p>
        </w:tc>
      </w:tr>
      <w:tr>
        <w:trPr>
          <w:trHeight w:val="283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Fett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8,1 g</w:t>
            </w:r>
          </w:p>
        </w:tc>
      </w:tr>
      <w:tr>
        <w:trPr>
          <w:trHeight w:val="282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-davon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gesättigte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Fettsäuren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0,74 g</w:t>
            </w:r>
          </w:p>
        </w:tc>
      </w:tr>
      <w:tr>
        <w:trPr>
          <w:trHeight w:val="283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Kohlenhydrate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56,0 g</w:t>
            </w:r>
          </w:p>
        </w:tc>
      </w:tr>
      <w:tr>
        <w:trPr>
          <w:trHeight w:val="282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-davon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Zucker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&lt;0,5 g</w:t>
            </w:r>
          </w:p>
        </w:tc>
      </w:tr>
      <w:tr>
        <w:trPr>
          <w:trHeight w:val="282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Ballaststoffe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25,3 g</w:t>
            </w:r>
          </w:p>
        </w:tc>
      </w:tr>
      <w:tr>
        <w:trPr>
          <w:trHeight w:val="283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left w:val="thickThinMediumGap" w:sz="1" w:space="0" w:color="000000"/>
            </w:tcBorders>
          </w:tcPr>
          <w:p>
            <w:pPr>
              <w:pStyle w:val="TableParagraph"/>
              <w:spacing w:before="20"/>
              <w:ind w:left="61"/>
              <w:rPr>
                <w:sz w:val="20"/>
              </w:rPr>
            </w:pPr>
            <w:r>
              <w:rPr>
                <w:sz w:val="20"/>
              </w:rPr>
              <w:t>Eiweiß</w:t>
            </w:r>
          </w:p>
        </w:tc>
        <w:tc>
          <w:tcPr>
            <w:tcW w:w="2530" w:type="dxa"/>
          </w:tcPr>
          <w:p>
            <w:pPr>
              <w:pStyle w:val="TableParagraph"/>
              <w:spacing w:before="20"/>
              <w:ind w:left="30"/>
              <w:rPr>
                <w:sz w:val="20"/>
              </w:rPr>
            </w:pPr>
            <w:r>
              <w:rPr>
                <w:sz w:val="20"/>
              </w:rPr>
              <w:t>21,6 g</w:t>
            </w:r>
          </w:p>
        </w:tc>
      </w:tr>
      <w:tr>
        <w:trPr>
          <w:trHeight w:val="506" w:hRule="atLeast"/>
        </w:trPr>
        <w:tc>
          <w:tcPr>
            <w:tcW w:w="4986" w:type="dxa"/>
            <w:vMerge/>
            <w:tcBorders>
              <w:top w:val="nil"/>
              <w:right w:val="thinThickMediumGap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043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Hinweise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49"/>
              <w:ind w:right="924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Inhalt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dieser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Verpackung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reicht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für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Portionen 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5g.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haltbar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bis: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siehe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Verpackung.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1242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beachten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Angaben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Verpackung.</w:t>
            </w:r>
          </w:p>
        </w:tc>
      </w:tr>
      <w:tr>
        <w:trPr>
          <w:trHeight w:val="660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Informationen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unter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49"/>
              <w:ind w:right="3313"/>
              <w:rPr>
                <w:sz w:val="24"/>
              </w:rPr>
            </w:pPr>
            <w:hyperlink r:id="rId8">
              <w:r>
                <w:rPr>
                  <w:color w:val="00007F"/>
                  <w:spacing w:val="-1"/>
                  <w:sz w:val="24"/>
                  <w:u w:val="single" w:color="00007F"/>
                </w:rPr>
                <w:t>www.guterrat.net</w:t>
              </w:r>
            </w:hyperlink>
            <w:r>
              <w:rPr>
                <w:color w:val="00007F"/>
                <w:spacing w:val="-57"/>
                <w:sz w:val="24"/>
              </w:rPr>
              <w:t> </w:t>
            </w:r>
            <w:r>
              <w:rPr>
                <w:color w:val="00007F"/>
                <w:sz w:val="24"/>
                <w:u w:val="single" w:color="00007F"/>
              </w:rPr>
              <w:t>doclabor.com</w:t>
            </w:r>
          </w:p>
        </w:tc>
      </w:tr>
      <w:tr>
        <w:trPr>
          <w:trHeight w:val="2319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SEO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Keywords: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49"/>
              <w:ind w:right="31"/>
              <w:rPr>
                <w:sz w:val="24"/>
              </w:rPr>
            </w:pPr>
            <w:r>
              <w:rPr>
                <w:sz w:val="24"/>
              </w:rPr>
              <w:t>doc nature’s bio moringa oleifera blattpulver, bio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moringa oleifera blattpulver gesund und leben,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moringa oleifera blattpulver, bio moringa pulver,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 moringa pulver kaufen, moringa pulver gesund,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moringablätter pulver, moringa pulver superfood,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meeretichbaum bio pulver, moringa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nahrungsergänzung, moringa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pulver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nahrungsergänzung</w:t>
            </w:r>
          </w:p>
        </w:tc>
      </w:tr>
      <w:tr>
        <w:trPr>
          <w:trHeight w:val="661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Inverkehrbringer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guterrat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Gesundheitsprodukte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GmbH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KG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140" w:bottom="754" w:left="980" w:right="100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5050"/>
      </w:tblGrid>
      <w:tr>
        <w:trPr>
          <w:trHeight w:val="1215" w:hRule="atLeast"/>
        </w:trPr>
        <w:tc>
          <w:tcPr>
            <w:tcW w:w="49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before="49"/>
              <w:ind w:right="2003"/>
              <w:rPr>
                <w:sz w:val="24"/>
              </w:rPr>
            </w:pPr>
            <w:r>
              <w:rPr>
                <w:sz w:val="24"/>
              </w:rPr>
              <w:t>Eduard-Bodem-Gasse 6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Kontrolliert </w:t>
            </w:r>
            <w:r>
              <w:rPr>
                <w:spacing w:val="-2"/>
                <w:sz w:val="24"/>
              </w:rPr>
              <w:t>durch AT-BIO-301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A-6020 Innsbruck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sz w:val="24"/>
                </w:rPr>
                <w:t>doc@guterrat.net</w:t>
              </w:r>
            </w:hyperlink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  <w:tc>
          <w:tcPr>
            <w:tcW w:w="5050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11.04.2023,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(label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05-2023)</w:t>
            </w:r>
          </w:p>
        </w:tc>
      </w:tr>
    </w:tbl>
    <w:sectPr>
      <w:type w:val="continuous"/>
      <w:pgSz w:w="12240" w:h="15840"/>
      <w:pgMar w:top="114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a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de-a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at" w:eastAsia="en-US" w:bidi="ar-SA"/>
    </w:rPr>
  </w:style>
  <w:style w:styleId="TableParagraph" w:type="paragraph">
    <w:name w:val="Table Paragraph"/>
    <w:basedOn w:val="Normal"/>
    <w:uiPriority w:val="1"/>
    <w:qFormat/>
    <w:pPr>
      <w:ind w:left="48"/>
    </w:pPr>
    <w:rPr>
      <w:rFonts w:ascii="Times New Roman" w:hAnsi="Times New Roman" w:eastAsia="Times New Roman" w:cs="Times New Roman"/>
      <w:lang w:val="de-a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guterrat.net/" TargetMode="External"/><Relationship Id="rId9" Type="http://schemas.openxmlformats.org/officeDocument/2006/relationships/hyperlink" Target="mailto:doc@guterrat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2023-05-09T09:06:42Z</dcterms:created>
  <dcterms:modified xsi:type="dcterms:W3CDTF">2023-05-09T09:06:42Z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2023-04-24T00:00:00Z</vt:filetime>
  </property>
</Properties>
</file>