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9F9D" w14:textId="77777777" w:rsidR="00F24D7B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33202047" w14:textId="77777777" w:rsidR="00F24D7B" w:rsidRDefault="00F24D7B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F24D7B" w14:paraId="6525E551" w14:textId="77777777">
        <w:trPr>
          <w:trHeight w:val="662"/>
        </w:trPr>
        <w:tc>
          <w:tcPr>
            <w:tcW w:w="4986" w:type="dxa"/>
          </w:tcPr>
          <w:p w14:paraId="72832040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2B793D00" w14:textId="77777777" w:rsidR="00F24D7B" w:rsidRDefault="00000000">
            <w:pPr>
              <w:pStyle w:val="TableParagraph"/>
              <w:ind w:right="22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nature’s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PROPOLCIN</w:t>
            </w:r>
            <w:r>
              <w:rPr>
                <w:b/>
                <w:spacing w:val="-4"/>
                <w:sz w:val="24"/>
                <w:vertAlign w:val="superscript"/>
              </w:rPr>
              <w:t>®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Tropfen</w:t>
            </w:r>
          </w:p>
        </w:tc>
      </w:tr>
      <w:tr w:rsidR="00F24D7B" w14:paraId="59E4D1FC" w14:textId="77777777">
        <w:trPr>
          <w:trHeight w:val="385"/>
        </w:trPr>
        <w:tc>
          <w:tcPr>
            <w:tcW w:w="4986" w:type="dxa"/>
          </w:tcPr>
          <w:p w14:paraId="79DB36BA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69CF89C2" w14:textId="77777777" w:rsidR="00F24D7B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F24D7B" w14:paraId="51E79296" w14:textId="77777777">
        <w:trPr>
          <w:trHeight w:val="387"/>
        </w:trPr>
        <w:tc>
          <w:tcPr>
            <w:tcW w:w="4986" w:type="dxa"/>
          </w:tcPr>
          <w:p w14:paraId="3A5889B6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71A7EACC" w14:textId="77777777" w:rsidR="00F24D7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spacing w:val="-5"/>
                <w:sz w:val="24"/>
              </w:rPr>
              <w:t>ml</w:t>
            </w:r>
          </w:p>
        </w:tc>
      </w:tr>
      <w:tr w:rsidR="00F24D7B" w14:paraId="0DA66C81" w14:textId="77777777">
        <w:trPr>
          <w:trHeight w:val="385"/>
        </w:trPr>
        <w:tc>
          <w:tcPr>
            <w:tcW w:w="4986" w:type="dxa"/>
          </w:tcPr>
          <w:p w14:paraId="3BEF75B6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6C838C33" w14:textId="77777777" w:rsidR="00F24D7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Nahrungsergänzungsmittel</w:t>
            </w:r>
          </w:p>
        </w:tc>
      </w:tr>
      <w:tr w:rsidR="00F24D7B" w14:paraId="27582F2D" w14:textId="77777777">
        <w:trPr>
          <w:trHeight w:val="385"/>
        </w:trPr>
        <w:tc>
          <w:tcPr>
            <w:tcW w:w="4986" w:type="dxa"/>
          </w:tcPr>
          <w:p w14:paraId="4597CEF1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6BEABCC1" w14:textId="77777777" w:rsidR="00F24D7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18197977</w:t>
            </w:r>
          </w:p>
        </w:tc>
      </w:tr>
      <w:tr w:rsidR="00F24D7B" w14:paraId="1990CE57" w14:textId="77777777">
        <w:trPr>
          <w:trHeight w:val="387"/>
        </w:trPr>
        <w:tc>
          <w:tcPr>
            <w:tcW w:w="4986" w:type="dxa"/>
          </w:tcPr>
          <w:p w14:paraId="7D169CF2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678FFAAE" w14:textId="77777777" w:rsidR="00F24D7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9120050882898</w:t>
            </w:r>
          </w:p>
        </w:tc>
      </w:tr>
      <w:tr w:rsidR="00F24D7B" w14:paraId="0BD2025C" w14:textId="77777777">
        <w:trPr>
          <w:trHeight w:val="2593"/>
        </w:trPr>
        <w:tc>
          <w:tcPr>
            <w:tcW w:w="4986" w:type="dxa"/>
          </w:tcPr>
          <w:p w14:paraId="63488D03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715688C6" w14:textId="77777777" w:rsidR="00F24D7B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Propolcin</w:t>
            </w:r>
            <w:proofErr w:type="spellEnd"/>
            <w:r>
              <w:rPr>
                <w:b/>
                <w:w w:val="95"/>
                <w:sz w:val="24"/>
                <w:vertAlign w:val="superscript"/>
              </w:rPr>
              <w:t>®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Tropfen</w:t>
            </w:r>
          </w:p>
          <w:p w14:paraId="1FCA0838" w14:textId="77777777" w:rsidR="00F24D7B" w:rsidRDefault="00F24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4AA2297" w14:textId="77777777" w:rsidR="00F24D7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Propolis-</w:t>
            </w:r>
            <w:r>
              <w:rPr>
                <w:spacing w:val="-2"/>
                <w:sz w:val="24"/>
              </w:rPr>
              <w:t>Extrakt</w:t>
            </w:r>
          </w:p>
          <w:p w14:paraId="2DFDB0F5" w14:textId="77777777" w:rsidR="00F24D7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einem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Gehalt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Flavonoids (sekundärer Pflanzenstoff) </w:t>
            </w:r>
            <w:proofErr w:type="spellStart"/>
            <w:r>
              <w:rPr>
                <w:sz w:val="24"/>
              </w:rPr>
              <w:t>Galangin</w:t>
            </w:r>
            <w:proofErr w:type="spellEnd"/>
          </w:p>
          <w:p w14:paraId="787A6005" w14:textId="77777777" w:rsidR="00F24D7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Alkoholfrei</w:t>
            </w:r>
            <w:proofErr w:type="gramEnd"/>
          </w:p>
          <w:p w14:paraId="09C2A8CA" w14:textId="77777777" w:rsidR="00F24D7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proofErr w:type="gramStart"/>
            <w:r>
              <w:rPr>
                <w:spacing w:val="-2"/>
                <w:sz w:val="24"/>
              </w:rPr>
              <w:t>Glutenfrei</w:t>
            </w:r>
            <w:proofErr w:type="gramEnd"/>
          </w:p>
        </w:tc>
      </w:tr>
      <w:tr w:rsidR="00F24D7B" w14:paraId="2263FA03" w14:textId="77777777">
        <w:trPr>
          <w:trHeight w:val="4803"/>
        </w:trPr>
        <w:tc>
          <w:tcPr>
            <w:tcW w:w="4986" w:type="dxa"/>
          </w:tcPr>
          <w:p w14:paraId="12B14703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35FDEB6C" w14:textId="77777777" w:rsidR="00F24D7B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Propolcin</w:t>
            </w:r>
            <w:proofErr w:type="spellEnd"/>
            <w:r>
              <w:rPr>
                <w:sz w:val="24"/>
                <w:vertAlign w:val="superscript"/>
              </w:rPr>
              <w:t>®</w:t>
            </w:r>
            <w:r>
              <w:rPr>
                <w:sz w:val="24"/>
              </w:rPr>
              <w:t xml:space="preserve"> Tropfen sind ein Nahrungsergänzungsmittel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Propolis.</w:t>
            </w:r>
          </w:p>
          <w:p w14:paraId="693D63F3" w14:textId="77777777" w:rsidR="00F24D7B" w:rsidRDefault="00F24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33059AF" w14:textId="77777777" w:rsidR="00F24D7B" w:rsidRDefault="00000000">
            <w:pPr>
              <w:pStyle w:val="TableParagraph"/>
              <w:spacing w:before="0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Propolcin</w:t>
            </w:r>
            <w:proofErr w:type="spellEnd"/>
            <w:r>
              <w:rPr>
                <w:sz w:val="24"/>
                <w:vertAlign w:val="superscript"/>
              </w:rPr>
              <w:t>®</w:t>
            </w:r>
            <w:r>
              <w:rPr>
                <w:sz w:val="24"/>
              </w:rPr>
              <w:t xml:space="preserve"> Tropfen sind ein alkoholfreies Nahrungsergänzungsmittel auf Basis eines Propolis-Extraktes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einem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Gehalt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10% des Flavonoids (sekundärer Pflanzenstoff) </w:t>
            </w:r>
            <w:proofErr w:type="spellStart"/>
            <w:r>
              <w:rPr>
                <w:spacing w:val="-2"/>
                <w:sz w:val="24"/>
              </w:rPr>
              <w:t>Galangin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20ED8ACF" w14:textId="77777777" w:rsidR="00F24D7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Propolis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Produkt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Bienenstocks,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von Bienen zum Schutz der Bienenwabenzellen vor Insekten, Bakterien und Pilzen verwendet wird.</w:t>
            </w:r>
          </w:p>
          <w:p w14:paraId="53F2E0F8" w14:textId="77777777" w:rsidR="00F24D7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Der Verzicht auf Alkohol macht das Produkt speziell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geeignet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eine süße Alternative zu alkoholischen Tropfen </w:t>
            </w:r>
            <w:r>
              <w:rPr>
                <w:spacing w:val="-2"/>
                <w:sz w:val="24"/>
              </w:rPr>
              <w:t>bevorzugen.</w:t>
            </w:r>
          </w:p>
          <w:p w14:paraId="27AD65A8" w14:textId="77777777" w:rsidR="00F24D7B" w:rsidRDefault="00F24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221B686" w14:textId="77777777" w:rsidR="00F24D7B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Hergestellt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Europa.</w:t>
            </w:r>
          </w:p>
        </w:tc>
      </w:tr>
      <w:tr w:rsidR="00F24D7B" w14:paraId="5B01FDE1" w14:textId="77777777">
        <w:trPr>
          <w:trHeight w:val="1037"/>
        </w:trPr>
        <w:tc>
          <w:tcPr>
            <w:tcW w:w="4986" w:type="dxa"/>
          </w:tcPr>
          <w:p w14:paraId="707B1BEE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Verzehrsempfehlung</w:t>
            </w:r>
            <w:proofErr w:type="spellEnd"/>
          </w:p>
        </w:tc>
        <w:tc>
          <w:tcPr>
            <w:tcW w:w="5050" w:type="dxa"/>
          </w:tcPr>
          <w:p w14:paraId="3DEB674E" w14:textId="77777777" w:rsidR="00F24D7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Tropfen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2-3mal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täglich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entweder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Wasser einnehmen.</w:t>
            </w:r>
          </w:p>
          <w:p w14:paraId="0AE70045" w14:textId="77777777" w:rsidR="00F24D7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Vor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Gebrauch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gut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schütteln!</w:t>
            </w:r>
          </w:p>
        </w:tc>
      </w:tr>
      <w:tr w:rsidR="00F24D7B" w14:paraId="3CA4160C" w14:textId="77777777">
        <w:trPr>
          <w:trHeight w:val="1490"/>
        </w:trPr>
        <w:tc>
          <w:tcPr>
            <w:tcW w:w="4986" w:type="dxa"/>
          </w:tcPr>
          <w:p w14:paraId="76757E05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Zusammensetzung</w:t>
            </w:r>
          </w:p>
        </w:tc>
        <w:tc>
          <w:tcPr>
            <w:tcW w:w="5050" w:type="dxa"/>
          </w:tcPr>
          <w:p w14:paraId="14708B7E" w14:textId="77777777" w:rsidR="00F24D7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Zutaten: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Wasser;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pflanzliches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Glycerin;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Propolis- Trockenextrakt entsprechend 10% Gesamt- Polyphenole als </w:t>
            </w:r>
            <w:proofErr w:type="spellStart"/>
            <w:r>
              <w:rPr>
                <w:sz w:val="24"/>
              </w:rPr>
              <w:t>Galangin</w:t>
            </w:r>
            <w:proofErr w:type="spellEnd"/>
            <w:r>
              <w:rPr>
                <w:sz w:val="24"/>
              </w:rPr>
              <w:t>; Konservierungsstoff: Kaliumsorbat; Säuerungsmittel: Citronensäure.</w:t>
            </w:r>
          </w:p>
        </w:tc>
      </w:tr>
    </w:tbl>
    <w:p w14:paraId="7DEEA9D1" w14:textId="77777777" w:rsidR="00F24D7B" w:rsidRDefault="00F24D7B">
      <w:pPr>
        <w:rPr>
          <w:sz w:val="24"/>
        </w:rPr>
        <w:sectPr w:rsidR="00F24D7B">
          <w:type w:val="continuous"/>
          <w:pgSz w:w="12240" w:h="15840"/>
          <w:pgMar w:top="1060" w:right="1000" w:bottom="100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F24D7B" w14:paraId="6D85A7AC" w14:textId="77777777">
        <w:trPr>
          <w:trHeight w:val="387"/>
        </w:trPr>
        <w:tc>
          <w:tcPr>
            <w:tcW w:w="4986" w:type="dxa"/>
          </w:tcPr>
          <w:p w14:paraId="47F5A080" w14:textId="77777777" w:rsidR="00F24D7B" w:rsidRDefault="00F24D7B">
            <w:pPr>
              <w:pStyle w:val="TableParagraph"/>
              <w:spacing w:before="0"/>
              <w:ind w:left="0"/>
            </w:pPr>
          </w:p>
        </w:tc>
        <w:tc>
          <w:tcPr>
            <w:tcW w:w="5050" w:type="dxa"/>
          </w:tcPr>
          <w:p w14:paraId="351B25CB" w14:textId="77777777" w:rsidR="00F24D7B" w:rsidRDefault="00F24D7B">
            <w:pPr>
              <w:pStyle w:val="TableParagraph"/>
              <w:spacing w:before="0"/>
              <w:ind w:left="0"/>
            </w:pPr>
          </w:p>
        </w:tc>
      </w:tr>
      <w:tr w:rsidR="00F24D7B" w14:paraId="65C1840C" w14:textId="77777777">
        <w:trPr>
          <w:trHeight w:val="990"/>
        </w:trPr>
        <w:tc>
          <w:tcPr>
            <w:tcW w:w="4986" w:type="dxa"/>
          </w:tcPr>
          <w:p w14:paraId="3B7E63E7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Nährwerte</w:t>
            </w:r>
          </w:p>
        </w:tc>
        <w:tc>
          <w:tcPr>
            <w:tcW w:w="5050" w:type="dxa"/>
          </w:tcPr>
          <w:p w14:paraId="7ACB567A" w14:textId="77777777" w:rsidR="00F24D7B" w:rsidRDefault="00F24D7B">
            <w:pPr>
              <w:pStyle w:val="TableParagraph"/>
              <w:spacing w:before="0"/>
              <w:ind w:left="0"/>
            </w:pPr>
          </w:p>
        </w:tc>
      </w:tr>
      <w:tr w:rsidR="00F24D7B" w14:paraId="292DF792" w14:textId="77777777">
        <w:trPr>
          <w:trHeight w:val="5907"/>
        </w:trPr>
        <w:tc>
          <w:tcPr>
            <w:tcW w:w="4986" w:type="dxa"/>
          </w:tcPr>
          <w:p w14:paraId="4BF3B8C5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6004336F" w14:textId="77777777" w:rsidR="00F24D7B" w:rsidRDefault="00000000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Aufgrund der Verwendung von natürlichen Rohstoffen pflanzlichen Ursprungs kann es zu einer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Satzbildung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Flaschenboden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kommen.</w:t>
            </w:r>
          </w:p>
          <w:p w14:paraId="1C36094F" w14:textId="77777777" w:rsidR="00F24D7B" w:rsidRDefault="00F24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00FE953" w14:textId="77777777" w:rsidR="00F24D7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Hinweise: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Außerhalb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Reichweite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von kleinen Kindern aufbewahren.</w:t>
            </w:r>
          </w:p>
          <w:p w14:paraId="5D76F5E2" w14:textId="77777777" w:rsidR="00F24D7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angegebene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Verzehrsmenge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darf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nicht überschritten werden. Nicht während der Schwangerschaft einnehmen.</w:t>
            </w:r>
          </w:p>
          <w:p w14:paraId="37C3CC0C" w14:textId="77777777" w:rsidR="00F24D7B" w:rsidRDefault="00000000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Nahrungsergänzungsmittel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sollen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Ersatz für eine ausgewogene und abwechslungsreiche Ernährung verwendet werden. Eine gesunde Lebensweise ist immer wichtig.</w:t>
            </w:r>
          </w:p>
          <w:p w14:paraId="6D77C63E" w14:textId="77777777" w:rsidR="00F24D7B" w:rsidRDefault="00F24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6FD2938" w14:textId="77777777" w:rsidR="00F24D7B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Kühl, trocken und vor Wärme geschützt lagern. Nach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Öffnen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Kühlschrank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aufbewahren.</w:t>
            </w:r>
          </w:p>
          <w:p w14:paraId="59230403" w14:textId="77777777" w:rsidR="00F24D7B" w:rsidRDefault="00F24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F5DC98C" w14:textId="77777777" w:rsidR="00F24D7B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L-Nr./Mindestens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Boden</w:t>
            </w:r>
          </w:p>
          <w:p w14:paraId="3C09CD43" w14:textId="77777777" w:rsidR="00F24D7B" w:rsidRDefault="00F24D7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F144F2A" w14:textId="77777777" w:rsidR="00F24D7B" w:rsidRDefault="00000000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F24D7B" w14:paraId="26B49141" w14:textId="77777777">
        <w:trPr>
          <w:trHeight w:val="2592"/>
        </w:trPr>
        <w:tc>
          <w:tcPr>
            <w:tcW w:w="4986" w:type="dxa"/>
          </w:tcPr>
          <w:p w14:paraId="637F526F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SEO-Keywords</w:t>
            </w:r>
          </w:p>
        </w:tc>
        <w:tc>
          <w:tcPr>
            <w:tcW w:w="5050" w:type="dxa"/>
          </w:tcPr>
          <w:p w14:paraId="268A6795" w14:textId="77777777" w:rsidR="00F24D7B" w:rsidRDefault="00000000">
            <w:pPr>
              <w:pStyle w:val="TableParagraph"/>
              <w:ind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propolcin</w:t>
            </w:r>
            <w:proofErr w:type="spellEnd"/>
            <w:r>
              <w:rPr>
                <w:sz w:val="24"/>
              </w:rPr>
              <w:t xml:space="preserve"> tropfen, </w:t>
            </w:r>
            <w:proofErr w:type="spellStart"/>
            <w:r>
              <w:rPr>
                <w:sz w:val="24"/>
              </w:rPr>
              <w:t>propolcin</w:t>
            </w:r>
            <w:proofErr w:type="spellEnd"/>
            <w:r>
              <w:rPr>
                <w:sz w:val="24"/>
              </w:rPr>
              <w:t xml:space="preserve"> tropfen, </w:t>
            </w:r>
            <w:proofErr w:type="spellStart"/>
            <w:r>
              <w:rPr>
                <w:sz w:val="24"/>
              </w:rPr>
              <w:t>propolis</w:t>
            </w:r>
            <w:proofErr w:type="spellEnd"/>
            <w:r>
              <w:rPr>
                <w:sz w:val="24"/>
              </w:rPr>
              <w:t xml:space="preserve"> tropfen, </w:t>
            </w:r>
            <w:proofErr w:type="spellStart"/>
            <w:r>
              <w:rPr>
                <w:sz w:val="24"/>
              </w:rPr>
              <w:t>propolis</w:t>
            </w:r>
            <w:proofErr w:type="spellEnd"/>
            <w:r>
              <w:rPr>
                <w:sz w:val="24"/>
              </w:rPr>
              <w:t xml:space="preserve"> tropfen </w:t>
            </w:r>
            <w:proofErr w:type="spellStart"/>
            <w:r>
              <w:rPr>
                <w:sz w:val="24"/>
              </w:rPr>
              <w:t>apotheke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propolis</w:t>
            </w:r>
            <w:proofErr w:type="spellEnd"/>
            <w:r>
              <w:rPr>
                <w:sz w:val="24"/>
              </w:rPr>
              <w:t xml:space="preserve"> tropfen kaufen, </w:t>
            </w:r>
            <w:proofErr w:type="spellStart"/>
            <w:r>
              <w:rPr>
                <w:sz w:val="24"/>
              </w:rPr>
              <w:t>propolis</w:t>
            </w:r>
            <w:proofErr w:type="spellEnd"/>
            <w:r>
              <w:rPr>
                <w:sz w:val="24"/>
              </w:rPr>
              <w:t xml:space="preserve"> tropfen </w:t>
            </w:r>
            <w:proofErr w:type="spellStart"/>
            <w:r>
              <w:rPr>
                <w:sz w:val="24"/>
              </w:rPr>
              <w:t>dm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propolis</w:t>
            </w:r>
            <w:proofErr w:type="spellEnd"/>
            <w:r>
              <w:rPr>
                <w:sz w:val="24"/>
              </w:rPr>
              <w:t xml:space="preserve"> tropfen ohne </w:t>
            </w:r>
            <w:proofErr w:type="spellStart"/>
            <w:r>
              <w:rPr>
                <w:sz w:val="24"/>
              </w:rPr>
              <w:t>alkohol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propolis</w:t>
            </w:r>
            <w:proofErr w:type="spellEnd"/>
            <w:r>
              <w:rPr>
                <w:sz w:val="24"/>
              </w:rPr>
              <w:t xml:space="preserve"> tropfen ohne </w:t>
            </w:r>
            <w:proofErr w:type="spellStart"/>
            <w:r>
              <w:rPr>
                <w:sz w:val="24"/>
              </w:rPr>
              <w:t>alkohol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zum </w:t>
            </w:r>
            <w:proofErr w:type="spellStart"/>
            <w:r>
              <w:rPr>
                <w:sz w:val="24"/>
              </w:rPr>
              <w:t>einnehmen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propolis</w:t>
            </w:r>
            <w:proofErr w:type="spellEnd"/>
            <w:r>
              <w:rPr>
                <w:sz w:val="24"/>
              </w:rPr>
              <w:t xml:space="preserve"> tropfen für </w:t>
            </w:r>
            <w:proofErr w:type="spellStart"/>
            <w:r>
              <w:rPr>
                <w:sz w:val="24"/>
              </w:rPr>
              <w:t>kinder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propolis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tropfen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glutenfrei,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propolis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tropfen </w:t>
            </w:r>
            <w:proofErr w:type="spellStart"/>
            <w:r>
              <w:rPr>
                <w:sz w:val="24"/>
              </w:rPr>
              <w:t>amazon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nahrungsergänzungsmittel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propolis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propolis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nahrungsergänzung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propolis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immunsystem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propolis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extrakt</w:t>
            </w:r>
            <w:proofErr w:type="spellEnd"/>
            <w:r>
              <w:rPr>
                <w:sz w:val="24"/>
              </w:rPr>
              <w:t xml:space="preserve"> ohne </w:t>
            </w:r>
            <w:proofErr w:type="spellStart"/>
            <w:r>
              <w:rPr>
                <w:sz w:val="24"/>
              </w:rPr>
              <w:t>alkohol</w:t>
            </w:r>
            <w:proofErr w:type="spellEnd"/>
          </w:p>
        </w:tc>
      </w:tr>
      <w:tr w:rsidR="00F24D7B" w14:paraId="0FE9B3B6" w14:textId="77777777">
        <w:trPr>
          <w:trHeight w:val="386"/>
        </w:trPr>
        <w:tc>
          <w:tcPr>
            <w:tcW w:w="4986" w:type="dxa"/>
          </w:tcPr>
          <w:p w14:paraId="78352115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294324DB" w14:textId="30FFA4AB" w:rsidR="00F24D7B" w:rsidRDefault="00F067F3" w:rsidP="00F067F3">
            <w:pPr>
              <w:pStyle w:val="TableParagraph"/>
              <w:ind w:left="0"/>
              <w:rPr>
                <w:sz w:val="24"/>
              </w:rPr>
            </w:pPr>
            <w:hyperlink r:id="rId4" w:history="1">
              <w:r w:rsidRPr="001C6D14">
                <w:rPr>
                  <w:rStyle w:val="Hyperlink"/>
                  <w:spacing w:val="-2"/>
                  <w:sz w:val="24"/>
                </w:rPr>
                <w:t>www.allpharm.de</w:t>
              </w:r>
            </w:hyperlink>
            <w:r>
              <w:rPr>
                <w:spacing w:val="-2"/>
                <w:sz w:val="24"/>
              </w:rPr>
              <w:t xml:space="preserve"> </w:t>
            </w:r>
          </w:p>
        </w:tc>
      </w:tr>
      <w:tr w:rsidR="00F24D7B" w14:paraId="20544908" w14:textId="77777777">
        <w:trPr>
          <w:trHeight w:val="1489"/>
        </w:trPr>
        <w:tc>
          <w:tcPr>
            <w:tcW w:w="4986" w:type="dxa"/>
          </w:tcPr>
          <w:p w14:paraId="13A011E8" w14:textId="78834891" w:rsidR="00F24D7B" w:rsidRDefault="00F067F3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</w:tcPr>
          <w:p w14:paraId="6DB01F9B" w14:textId="77777777" w:rsidR="00F067F3" w:rsidRPr="002D71B1" w:rsidRDefault="00F067F3" w:rsidP="00F067F3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18B96FCD" w14:textId="77777777" w:rsidR="00F067F3" w:rsidRPr="002D71B1" w:rsidRDefault="00F067F3" w:rsidP="00F067F3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1D02D3EE" w14:textId="77777777" w:rsidR="00F067F3" w:rsidRDefault="00F067F3" w:rsidP="00F067F3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4FE85D68" w14:textId="10891DBE" w:rsidR="00F24D7B" w:rsidRDefault="00F067F3" w:rsidP="00F067F3">
            <w:pPr>
              <w:pStyle w:val="TableParagraph"/>
              <w:tabs>
                <w:tab w:val="left" w:pos="2562"/>
              </w:tabs>
              <w:spacing w:before="0"/>
              <w:ind w:right="1784"/>
              <w:rPr>
                <w:sz w:val="24"/>
              </w:rPr>
            </w:pPr>
            <w:hyperlink r:id="rId5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F24D7B" w14:paraId="35642B1D" w14:textId="77777777">
        <w:trPr>
          <w:trHeight w:val="386"/>
        </w:trPr>
        <w:tc>
          <w:tcPr>
            <w:tcW w:w="4986" w:type="dxa"/>
          </w:tcPr>
          <w:p w14:paraId="5C82811C" w14:textId="77777777" w:rsidR="00F24D7B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159FFAC6" w14:textId="77777777" w:rsidR="00F24D7B" w:rsidRDefault="00000000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03.08.2022;JS</w:t>
            </w:r>
            <w:proofErr w:type="gramEnd"/>
          </w:p>
        </w:tc>
      </w:tr>
    </w:tbl>
    <w:p w14:paraId="5ED6BF51" w14:textId="77777777" w:rsidR="00F24D7B" w:rsidRDefault="00CD4A0D">
      <w:pPr>
        <w:rPr>
          <w:sz w:val="2"/>
          <w:szCs w:val="2"/>
        </w:rPr>
      </w:pPr>
      <w:r>
        <w:pict w14:anchorId="6F7660B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position:absolute;margin-left:306.4pt;margin-top:79.3pt;width:238.55pt;height:44pt;z-index:15728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4"/>
                    <w:gridCol w:w="2212"/>
                  </w:tblGrid>
                  <w:tr w:rsidR="00F24D7B" w14:paraId="1A881E26" w14:textId="77777777">
                    <w:trPr>
                      <w:trHeight w:val="286"/>
                    </w:trPr>
                    <w:tc>
                      <w:tcPr>
                        <w:tcW w:w="4766" w:type="dxa"/>
                        <w:gridSpan w:val="2"/>
                      </w:tcPr>
                      <w:p w14:paraId="7B3AD19B" w14:textId="77777777" w:rsidR="00F24D7B" w:rsidRDefault="00000000">
                        <w:pPr>
                          <w:pStyle w:val="TableParagraph"/>
                          <w:tabs>
                            <w:tab w:val="left" w:pos="2762"/>
                          </w:tabs>
                          <w:spacing w:before="27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Inhaltsstoffe: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pro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120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Tropfen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ml</w:t>
                        </w:r>
                      </w:p>
                    </w:tc>
                  </w:tr>
                  <w:tr w:rsidR="00F24D7B" w14:paraId="2EF703BF" w14:textId="77777777">
                    <w:trPr>
                      <w:trHeight w:val="287"/>
                    </w:trPr>
                    <w:tc>
                      <w:tcPr>
                        <w:tcW w:w="2554" w:type="dxa"/>
                      </w:tcPr>
                      <w:p w14:paraId="72F94E93" w14:textId="77777777" w:rsidR="00F24D7B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Propolis-Trockenextrakt</w:t>
                        </w:r>
                      </w:p>
                    </w:tc>
                    <w:tc>
                      <w:tcPr>
                        <w:tcW w:w="2212" w:type="dxa"/>
                      </w:tcPr>
                      <w:p w14:paraId="61485523" w14:textId="77777777" w:rsidR="00F24D7B" w:rsidRDefault="00000000">
                        <w:pPr>
                          <w:pStyle w:val="TableParagraph"/>
                          <w:spacing w:before="27"/>
                          <w:ind w:left="0" w:right="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50 </w:t>
                        </w:r>
                        <w:r>
                          <w:rPr>
                            <w:spacing w:val="-5"/>
                            <w:sz w:val="20"/>
                          </w:rPr>
                          <w:t>mg</w:t>
                        </w:r>
                      </w:p>
                    </w:tc>
                  </w:tr>
                  <w:tr w:rsidR="00F24D7B" w14:paraId="4C8BA6F3" w14:textId="77777777">
                    <w:trPr>
                      <w:trHeight w:val="287"/>
                    </w:trPr>
                    <w:tc>
                      <w:tcPr>
                        <w:tcW w:w="2554" w:type="dxa"/>
                      </w:tcPr>
                      <w:p w14:paraId="55577CAB" w14:textId="77777777" w:rsidR="00F24D7B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Polyphenol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Galangin</w:t>
                        </w:r>
                        <w:proofErr w:type="spellEnd"/>
                      </w:p>
                    </w:tc>
                    <w:tc>
                      <w:tcPr>
                        <w:tcW w:w="2212" w:type="dxa"/>
                      </w:tcPr>
                      <w:p w14:paraId="18569480" w14:textId="77777777" w:rsidR="00F24D7B" w:rsidRDefault="00000000">
                        <w:pPr>
                          <w:pStyle w:val="TableParagraph"/>
                          <w:spacing w:before="27"/>
                          <w:ind w:left="0" w:right="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 </w:t>
                        </w:r>
                        <w:r>
                          <w:rPr>
                            <w:spacing w:val="-5"/>
                            <w:sz w:val="20"/>
                          </w:rPr>
                          <w:t>mg</w:t>
                        </w:r>
                      </w:p>
                    </w:tc>
                  </w:tr>
                </w:tbl>
                <w:p w14:paraId="249097D0" w14:textId="77777777" w:rsidR="00F24D7B" w:rsidRDefault="00F24D7B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</w:p>
    <w:sectPr w:rsidR="00F24D7B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D7B"/>
    <w:rsid w:val="00CD4A0D"/>
    <w:rsid w:val="00F067F3"/>
    <w:rsid w:val="00F2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A59B3C"/>
  <w15:docId w15:val="{23AFD929-0635-694F-9BBD-B3F8F09A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F067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6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loewenberg@allpharm.de" TargetMode="External"/><Relationship Id="rId4" Type="http://schemas.openxmlformats.org/officeDocument/2006/relationships/hyperlink" Target="http://www.allphar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2022-09-29T08:28:00Z</dcterms:created>
  <dcterms:modified xsi:type="dcterms:W3CDTF">2022-09-29T08:29:00Z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2022-08-03T00:00:00Z</vt:filetime>
  </property>
</Properties>
</file>