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5B89" w14:textId="77777777" w:rsidR="00D36DE3" w:rsidRDefault="00000000">
      <w:pPr>
        <w:pStyle w:val="Textkrper"/>
        <w:spacing w:before="74"/>
        <w:ind w:left="175"/>
      </w:pPr>
      <w:r>
        <w:rPr>
          <w:spacing w:val="-2"/>
        </w:rPr>
        <w:t>Produktinformation</w:t>
      </w:r>
    </w:p>
    <w:p w14:paraId="7072716E" w14:textId="77777777" w:rsidR="00D36DE3" w:rsidRDefault="00D36DE3">
      <w:pPr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48"/>
      </w:tblGrid>
      <w:tr w:rsidR="00D36DE3" w14:paraId="36005F7E" w14:textId="77777777">
        <w:trPr>
          <w:trHeight w:val="938"/>
        </w:trPr>
        <w:tc>
          <w:tcPr>
            <w:tcW w:w="4986" w:type="dxa"/>
          </w:tcPr>
          <w:p w14:paraId="717680EB" w14:textId="77777777" w:rsidR="00D36DE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48" w:type="dxa"/>
          </w:tcPr>
          <w:p w14:paraId="6A3CB03A" w14:textId="77777777" w:rsidR="00D36DE3" w:rsidRDefault="000000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nature’s</w:t>
            </w:r>
            <w:proofErr w:type="spellEnd"/>
          </w:p>
          <w:p w14:paraId="3541A0D3" w14:textId="77777777" w:rsidR="00D36DE3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Zechstein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MAGNESIUM-</w:t>
            </w:r>
            <w:r>
              <w:rPr>
                <w:b/>
                <w:spacing w:val="-4"/>
                <w:sz w:val="24"/>
              </w:rPr>
              <w:t>SOLE</w:t>
            </w:r>
          </w:p>
          <w:p w14:paraId="31C38CE1" w14:textId="77777777" w:rsidR="00D36DE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Magnesium-</w:t>
            </w:r>
            <w:r>
              <w:rPr>
                <w:spacing w:val="-5"/>
                <w:sz w:val="24"/>
              </w:rPr>
              <w:t>Öl</w:t>
            </w:r>
          </w:p>
        </w:tc>
      </w:tr>
      <w:tr w:rsidR="00D36DE3" w14:paraId="0EBC1960" w14:textId="77777777">
        <w:trPr>
          <w:trHeight w:val="385"/>
        </w:trPr>
        <w:tc>
          <w:tcPr>
            <w:tcW w:w="4986" w:type="dxa"/>
          </w:tcPr>
          <w:p w14:paraId="475C30C0" w14:textId="77777777" w:rsidR="00D36DE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48" w:type="dxa"/>
          </w:tcPr>
          <w:p w14:paraId="36C716A2" w14:textId="77777777" w:rsidR="00D36DE3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D36DE3" w14:paraId="458CDEA9" w14:textId="77777777">
        <w:trPr>
          <w:trHeight w:val="385"/>
        </w:trPr>
        <w:tc>
          <w:tcPr>
            <w:tcW w:w="4986" w:type="dxa"/>
          </w:tcPr>
          <w:p w14:paraId="61262727" w14:textId="77777777" w:rsidR="00D36DE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48" w:type="dxa"/>
          </w:tcPr>
          <w:p w14:paraId="0FB8F49D" w14:textId="77777777" w:rsidR="00D36DE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5"/>
                <w:sz w:val="24"/>
              </w:rPr>
              <w:t>ml</w:t>
            </w:r>
          </w:p>
        </w:tc>
      </w:tr>
      <w:tr w:rsidR="00D36DE3" w14:paraId="50558C90" w14:textId="77777777">
        <w:trPr>
          <w:trHeight w:val="386"/>
        </w:trPr>
        <w:tc>
          <w:tcPr>
            <w:tcW w:w="4986" w:type="dxa"/>
          </w:tcPr>
          <w:p w14:paraId="4846D901" w14:textId="77777777" w:rsidR="00D36DE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48" w:type="dxa"/>
          </w:tcPr>
          <w:p w14:paraId="60FFCC82" w14:textId="77777777" w:rsidR="00D36DE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Kosmetikum</w:t>
            </w:r>
          </w:p>
        </w:tc>
      </w:tr>
      <w:tr w:rsidR="00D36DE3" w14:paraId="2C9D5B98" w14:textId="77777777">
        <w:trPr>
          <w:trHeight w:val="386"/>
        </w:trPr>
        <w:tc>
          <w:tcPr>
            <w:tcW w:w="4986" w:type="dxa"/>
          </w:tcPr>
          <w:p w14:paraId="59C834FF" w14:textId="77777777" w:rsidR="00D36DE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48" w:type="dxa"/>
          </w:tcPr>
          <w:p w14:paraId="70A60867" w14:textId="77777777" w:rsidR="00D36DE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18264389</w:t>
            </w:r>
          </w:p>
        </w:tc>
      </w:tr>
      <w:tr w:rsidR="00D36DE3" w14:paraId="7C8DC473" w14:textId="77777777">
        <w:trPr>
          <w:trHeight w:val="385"/>
        </w:trPr>
        <w:tc>
          <w:tcPr>
            <w:tcW w:w="4986" w:type="dxa"/>
          </w:tcPr>
          <w:p w14:paraId="2BCF9995" w14:textId="77777777" w:rsidR="00D36DE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48" w:type="dxa"/>
          </w:tcPr>
          <w:p w14:paraId="5643A7EB" w14:textId="77777777" w:rsidR="00D36DE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4024691376806</w:t>
            </w:r>
          </w:p>
        </w:tc>
      </w:tr>
      <w:tr w:rsidR="00D36DE3" w14:paraId="13488EF6" w14:textId="77777777">
        <w:trPr>
          <w:trHeight w:val="385"/>
        </w:trPr>
        <w:tc>
          <w:tcPr>
            <w:tcW w:w="4986" w:type="dxa"/>
          </w:tcPr>
          <w:p w14:paraId="65B66710" w14:textId="77777777" w:rsidR="00D36DE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Anwendungsgebiet:</w:t>
            </w:r>
          </w:p>
        </w:tc>
        <w:tc>
          <w:tcPr>
            <w:tcW w:w="5048" w:type="dxa"/>
          </w:tcPr>
          <w:p w14:paraId="219CB13F" w14:textId="77777777" w:rsidR="00D36DE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Massage,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Pflege,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Mundspülung,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Deo</w:t>
            </w:r>
          </w:p>
        </w:tc>
      </w:tr>
      <w:tr w:rsidR="00D36DE3" w14:paraId="4AAC7BA6" w14:textId="77777777">
        <w:trPr>
          <w:trHeight w:val="2318"/>
        </w:trPr>
        <w:tc>
          <w:tcPr>
            <w:tcW w:w="4986" w:type="dxa"/>
          </w:tcPr>
          <w:p w14:paraId="61A13B5F" w14:textId="77777777" w:rsidR="00D36DE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48" w:type="dxa"/>
          </w:tcPr>
          <w:p w14:paraId="016F9AB6" w14:textId="77777777" w:rsidR="00D36DE3" w:rsidRDefault="00000000">
            <w:pPr>
              <w:pStyle w:val="TableParagraph"/>
              <w:ind w:right="2223"/>
              <w:rPr>
                <w:b/>
                <w:sz w:val="24"/>
              </w:rPr>
            </w:pPr>
            <w:r>
              <w:rPr>
                <w:b/>
                <w:sz w:val="24"/>
              </w:rPr>
              <w:t>Zechstein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Magnesium-Sole Magnesium Öl</w:t>
            </w:r>
          </w:p>
          <w:p w14:paraId="318EDA83" w14:textId="77777777" w:rsidR="00D36DE3" w:rsidRDefault="00D36DE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0619561" w14:textId="77777777" w:rsidR="00D36DE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Magnesium-Sole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eignet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sanftes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Massageöl zur Pflege bei Verspannungen und hoher Muskelbeanspruchung sowie als Badezusatz und Mundspülung und Deodorant.</w:t>
            </w:r>
          </w:p>
        </w:tc>
      </w:tr>
      <w:tr w:rsidR="00D36DE3" w14:paraId="0E849C09" w14:textId="77777777">
        <w:trPr>
          <w:trHeight w:val="6182"/>
        </w:trPr>
        <w:tc>
          <w:tcPr>
            <w:tcW w:w="4986" w:type="dxa"/>
          </w:tcPr>
          <w:p w14:paraId="56106386" w14:textId="77777777" w:rsidR="00D36DE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48" w:type="dxa"/>
          </w:tcPr>
          <w:p w14:paraId="4DC6EBD0" w14:textId="77777777" w:rsidR="00D36DE3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Magnesium-</w:t>
            </w:r>
            <w:r>
              <w:rPr>
                <w:spacing w:val="-4"/>
                <w:sz w:val="24"/>
              </w:rPr>
              <w:t>Sole</w:t>
            </w:r>
          </w:p>
          <w:p w14:paraId="6351661F" w14:textId="77777777" w:rsidR="00D36DE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Magnesiumchlorid-Wasser-Lösung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31%</w:t>
            </w:r>
          </w:p>
          <w:p w14:paraId="44C7B21E" w14:textId="77777777" w:rsidR="00D36DE3" w:rsidRDefault="00D36DE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C08F03B" w14:textId="77777777" w:rsidR="00D36DE3" w:rsidRDefault="00000000">
            <w:pPr>
              <w:pStyle w:val="TableParagraph"/>
              <w:spacing w:before="0"/>
              <w:ind w:right="49"/>
              <w:rPr>
                <w:sz w:val="24"/>
              </w:rPr>
            </w:pPr>
            <w:r>
              <w:rPr>
                <w:sz w:val="24"/>
              </w:rPr>
              <w:t>Magnesium-Sole ist eine hochgesättigte Magnesium-Chlorid-Lösung (31%). Durch ihren hohen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Sättigungsgrad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fühlt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beim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Auftragen leicht ölig an. Sollten Sie beim Auftragen ein Brennen verspüren, dann sofort mit Wasser </w:t>
            </w:r>
            <w:r>
              <w:rPr>
                <w:spacing w:val="-2"/>
                <w:sz w:val="24"/>
              </w:rPr>
              <w:t>verdünnen.</w:t>
            </w:r>
          </w:p>
          <w:p w14:paraId="3DF4DE47" w14:textId="77777777" w:rsidR="00D36DE3" w:rsidRDefault="00D36DE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6001146" w14:textId="77777777" w:rsidR="00D36DE3" w:rsidRDefault="00000000">
            <w:pPr>
              <w:pStyle w:val="TableParagraph"/>
              <w:spacing w:before="0" w:after="98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</w:t>
            </w:r>
          </w:p>
          <w:p w14:paraId="7BA38F34" w14:textId="77777777" w:rsidR="00D36DE3" w:rsidRDefault="00000000">
            <w:pPr>
              <w:pStyle w:val="TableParagraph"/>
              <w:spacing w:before="0"/>
              <w:ind w:left="2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9C0D27" wp14:editId="68B18621">
                  <wp:extent cx="1219785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85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9C9EE" w14:textId="77777777" w:rsidR="00D36DE3" w:rsidRDefault="00000000">
            <w:pPr>
              <w:pStyle w:val="TableParagraph"/>
              <w:spacing w:before="125"/>
              <w:ind w:right="52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unser Haus stets frisch und in allerbester Qualität.</w:t>
            </w:r>
          </w:p>
        </w:tc>
      </w:tr>
      <w:tr w:rsidR="00D36DE3" w14:paraId="290564CC" w14:textId="77777777">
        <w:trPr>
          <w:trHeight w:val="690"/>
        </w:trPr>
        <w:tc>
          <w:tcPr>
            <w:tcW w:w="4986" w:type="dxa"/>
          </w:tcPr>
          <w:p w14:paraId="1062C051" w14:textId="77777777" w:rsidR="00D36DE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Anwendung</w:t>
            </w:r>
          </w:p>
        </w:tc>
        <w:tc>
          <w:tcPr>
            <w:tcW w:w="5048" w:type="dxa"/>
          </w:tcPr>
          <w:p w14:paraId="37789BFF" w14:textId="77777777" w:rsidR="00D36DE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Anwendung: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Massagezwecken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Bedarf und Flächen 2 bis 10 Pumpstöße auf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Arme/Beine</w:t>
            </w:r>
          </w:p>
        </w:tc>
      </w:tr>
    </w:tbl>
    <w:p w14:paraId="4EF8B3CF" w14:textId="77777777" w:rsidR="00D36DE3" w:rsidRDefault="00D36DE3">
      <w:pPr>
        <w:rPr>
          <w:sz w:val="24"/>
        </w:rPr>
        <w:sectPr w:rsidR="00D36DE3">
          <w:type w:val="continuous"/>
          <w:pgSz w:w="12240" w:h="15840"/>
          <w:pgMar w:top="1060" w:right="10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48"/>
      </w:tblGrid>
      <w:tr w:rsidR="00D36DE3" w14:paraId="39FD1280" w14:textId="77777777">
        <w:trPr>
          <w:trHeight w:val="1765"/>
        </w:trPr>
        <w:tc>
          <w:tcPr>
            <w:tcW w:w="4986" w:type="dxa"/>
          </w:tcPr>
          <w:p w14:paraId="3616F3E7" w14:textId="77777777" w:rsidR="00D36DE3" w:rsidRDefault="00D36D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48" w:type="dxa"/>
          </w:tcPr>
          <w:p w14:paraId="2997A762" w14:textId="77777777" w:rsidR="00D36DE3" w:rsidRDefault="0000000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sprühen und einreiben; vor und nach dem Sport zum Aufwärmen der Muskulatur bzw. zur Entspannung und Regeneration, als Beigabe zu Fuß-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Vollbad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für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Min.),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als warme / heiße Packung und als Deodorant 2-3 Pumpstöße unter die Achselhöhle.</w:t>
            </w:r>
          </w:p>
        </w:tc>
      </w:tr>
      <w:tr w:rsidR="00D36DE3" w14:paraId="78309DF3" w14:textId="77777777">
        <w:trPr>
          <w:trHeight w:val="662"/>
        </w:trPr>
        <w:tc>
          <w:tcPr>
            <w:tcW w:w="4986" w:type="dxa"/>
          </w:tcPr>
          <w:p w14:paraId="3CBB7F4F" w14:textId="77777777" w:rsidR="00D36DE3" w:rsidRDefault="00000000">
            <w:pPr>
              <w:pStyle w:val="TableParagraph"/>
              <w:ind w:left="5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Ingredients</w:t>
            </w:r>
            <w:proofErr w:type="spellEnd"/>
          </w:p>
        </w:tc>
        <w:tc>
          <w:tcPr>
            <w:tcW w:w="5048" w:type="dxa"/>
          </w:tcPr>
          <w:p w14:paraId="000FC621" w14:textId="77777777" w:rsidR="00D36DE3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Ingredients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aqua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magnesium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chloride</w:t>
            </w:r>
            <w:proofErr w:type="spellEnd"/>
          </w:p>
        </w:tc>
      </w:tr>
      <w:tr w:rsidR="00D36DE3" w14:paraId="1136D998" w14:textId="77777777">
        <w:trPr>
          <w:trHeight w:val="385"/>
        </w:trPr>
        <w:tc>
          <w:tcPr>
            <w:tcW w:w="4986" w:type="dxa"/>
          </w:tcPr>
          <w:p w14:paraId="7C287BCB" w14:textId="77777777" w:rsidR="00D36DE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</w:tc>
        <w:tc>
          <w:tcPr>
            <w:tcW w:w="5048" w:type="dxa"/>
          </w:tcPr>
          <w:p w14:paraId="382226CA" w14:textId="77777777" w:rsidR="00D36DE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6DE3" w14:paraId="1B57672A" w14:textId="77777777">
        <w:trPr>
          <w:trHeight w:val="2318"/>
        </w:trPr>
        <w:tc>
          <w:tcPr>
            <w:tcW w:w="4986" w:type="dxa"/>
          </w:tcPr>
          <w:p w14:paraId="00465744" w14:textId="77777777" w:rsidR="00D36DE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48" w:type="dxa"/>
          </w:tcPr>
          <w:p w14:paraId="258E8447" w14:textId="77777777" w:rsidR="00D36DE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Hinweis: Nur für die äußerliche Anwendung. Außerhalb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Reichweite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kleinen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Kindern </w:t>
            </w:r>
            <w:r>
              <w:rPr>
                <w:spacing w:val="-2"/>
                <w:sz w:val="24"/>
              </w:rPr>
              <w:t>lagern!</w:t>
            </w:r>
          </w:p>
          <w:p w14:paraId="67755097" w14:textId="77777777" w:rsidR="00D36DE3" w:rsidRDefault="00D36DE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AA18CF2" w14:textId="77777777" w:rsidR="00D36DE3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Nach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Öffnen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Monate</w:t>
            </w:r>
            <w:r>
              <w:rPr>
                <w:spacing w:val="-2"/>
                <w:sz w:val="24"/>
              </w:rPr>
              <w:t xml:space="preserve"> haltbar.</w:t>
            </w:r>
          </w:p>
          <w:p w14:paraId="42A8DC75" w14:textId="77777777" w:rsidR="00D36DE3" w:rsidRDefault="00D36DE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31E455A" w14:textId="77777777" w:rsidR="00D36DE3" w:rsidRDefault="00000000">
            <w:pPr>
              <w:pStyle w:val="TableParagraph"/>
              <w:spacing w:before="0"/>
              <w:ind w:right="1174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D36DE3" w:rsidRPr="001B4C5A" w14:paraId="5932B843" w14:textId="77777777" w:rsidTr="001B4C5A">
        <w:trPr>
          <w:trHeight w:val="488"/>
        </w:trPr>
        <w:tc>
          <w:tcPr>
            <w:tcW w:w="4986" w:type="dxa"/>
          </w:tcPr>
          <w:p w14:paraId="031D6518" w14:textId="77777777" w:rsidR="00D36DE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48" w:type="dxa"/>
          </w:tcPr>
          <w:p w14:paraId="19BBEAFD" w14:textId="66DEF967" w:rsidR="00D36DE3" w:rsidRPr="001B4C5A" w:rsidRDefault="001B4C5A">
            <w:pPr>
              <w:pStyle w:val="TableParagraph"/>
              <w:ind w:right="3314"/>
              <w:rPr>
                <w:sz w:val="24"/>
                <w:lang w:val="en-US"/>
              </w:rPr>
            </w:pPr>
            <w:hyperlink r:id="rId5" w:history="1">
              <w:r w:rsidRPr="00942820">
                <w:rPr>
                  <w:rStyle w:val="Hyperlink"/>
                </w:rPr>
                <w:t>www.allpharm.de</w:t>
              </w:r>
            </w:hyperlink>
            <w:r>
              <w:t xml:space="preserve"> </w:t>
            </w:r>
          </w:p>
        </w:tc>
      </w:tr>
      <w:tr w:rsidR="00D36DE3" w14:paraId="28B1B04A" w14:textId="77777777">
        <w:trPr>
          <w:trHeight w:val="2870"/>
        </w:trPr>
        <w:tc>
          <w:tcPr>
            <w:tcW w:w="4986" w:type="dxa"/>
          </w:tcPr>
          <w:p w14:paraId="09D3D6B5" w14:textId="77777777" w:rsidR="00D36DE3" w:rsidRDefault="00000000">
            <w:pPr>
              <w:pStyle w:val="TableParagraph"/>
              <w:ind w:left="55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48" w:type="dxa"/>
          </w:tcPr>
          <w:p w14:paraId="1EE0949B" w14:textId="77777777" w:rsidR="00D36DE3" w:rsidRDefault="00000000">
            <w:pPr>
              <w:pStyle w:val="TableParagraph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zechstein</w:t>
            </w:r>
            <w:proofErr w:type="spellEnd"/>
            <w:r>
              <w:rPr>
                <w:sz w:val="24"/>
              </w:rPr>
              <w:t xml:space="preserve"> magnesium-sole 100 ml, </w:t>
            </w: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magnesium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sole</w:t>
            </w:r>
            <w:proofErr w:type="spellEnd"/>
            <w:r>
              <w:rPr>
                <w:sz w:val="24"/>
              </w:rPr>
              <w:t xml:space="preserve"> 100 ml, </w:t>
            </w:r>
            <w:proofErr w:type="spellStart"/>
            <w:r>
              <w:rPr>
                <w:sz w:val="24"/>
              </w:rPr>
              <w:t>zechstein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magnesium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sole</w:t>
            </w:r>
            <w:proofErr w:type="spellEnd"/>
            <w:r>
              <w:rPr>
                <w:sz w:val="24"/>
              </w:rPr>
              <w:t xml:space="preserve"> 100 ml, gesund und leben </w:t>
            </w:r>
            <w:proofErr w:type="spellStart"/>
            <w:r>
              <w:rPr>
                <w:sz w:val="24"/>
              </w:rPr>
              <w:t>magnesium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sole</w:t>
            </w:r>
            <w:proofErr w:type="spellEnd"/>
            <w:r>
              <w:rPr>
                <w:sz w:val="24"/>
              </w:rPr>
              <w:t xml:space="preserve"> 100 ml, </w:t>
            </w:r>
            <w:proofErr w:type="spellStart"/>
            <w:r>
              <w:rPr>
                <w:sz w:val="24"/>
              </w:rPr>
              <w:t>magnesium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sole</w:t>
            </w:r>
            <w:proofErr w:type="spellEnd"/>
            <w:r>
              <w:rPr>
                <w:sz w:val="24"/>
              </w:rPr>
              <w:t xml:space="preserve"> gesund und leben </w:t>
            </w:r>
            <w:proofErr w:type="spellStart"/>
            <w:r>
              <w:rPr>
                <w:sz w:val="24"/>
              </w:rPr>
              <w:t>garantie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magnesiumsole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zechstein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magnesiumöl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zechstein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magnesiumchlorid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magnesiumchlorid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deodorant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magnesiumöl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massage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magnesiumöl</w:t>
            </w:r>
            <w:proofErr w:type="spellEnd"/>
            <w:r>
              <w:rPr>
                <w:sz w:val="24"/>
              </w:rPr>
              <w:t xml:space="preserve"> baden, </w:t>
            </w:r>
            <w:proofErr w:type="spellStart"/>
            <w:r>
              <w:rPr>
                <w:sz w:val="24"/>
              </w:rPr>
              <w:t>magnesiumm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kaufen,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magnesium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reformhaus</w:t>
            </w:r>
            <w:proofErr w:type="spellEnd"/>
          </w:p>
        </w:tc>
      </w:tr>
      <w:tr w:rsidR="00D36DE3" w14:paraId="400DEDF5" w14:textId="77777777">
        <w:trPr>
          <w:trHeight w:val="1490"/>
        </w:trPr>
        <w:tc>
          <w:tcPr>
            <w:tcW w:w="4986" w:type="dxa"/>
          </w:tcPr>
          <w:p w14:paraId="43C4C047" w14:textId="7F8C5071" w:rsidR="00D36DE3" w:rsidRDefault="001B4C5A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48" w:type="dxa"/>
          </w:tcPr>
          <w:p w14:paraId="3B321437" w14:textId="77777777" w:rsidR="001B4C5A" w:rsidRPr="002D71B1" w:rsidRDefault="001B4C5A" w:rsidP="001B4C5A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0B3E4F03" w14:textId="77777777" w:rsidR="001B4C5A" w:rsidRPr="002D71B1" w:rsidRDefault="001B4C5A" w:rsidP="001B4C5A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7069CF13" w14:textId="77777777" w:rsidR="001B4C5A" w:rsidRDefault="001B4C5A" w:rsidP="001B4C5A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48FD7F6A" w14:textId="2639F375" w:rsidR="00D36DE3" w:rsidRDefault="001B4C5A" w:rsidP="001B4C5A">
            <w:pPr>
              <w:pStyle w:val="TableParagraph"/>
              <w:spacing w:before="0"/>
              <w:ind w:right="2068"/>
              <w:rPr>
                <w:sz w:val="24"/>
              </w:rPr>
            </w:pPr>
            <w:hyperlink r:id="rId6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D36DE3" w14:paraId="326C37E1" w14:textId="77777777">
        <w:trPr>
          <w:trHeight w:val="385"/>
        </w:trPr>
        <w:tc>
          <w:tcPr>
            <w:tcW w:w="4986" w:type="dxa"/>
          </w:tcPr>
          <w:p w14:paraId="716EB1C8" w14:textId="77777777" w:rsidR="00D36DE3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48" w:type="dxa"/>
          </w:tcPr>
          <w:p w14:paraId="3EA7476F" w14:textId="77777777" w:rsidR="00D36DE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23.06.2022;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JS</w:t>
            </w:r>
          </w:p>
        </w:tc>
      </w:tr>
    </w:tbl>
    <w:p w14:paraId="7CA8824F" w14:textId="77777777" w:rsidR="00C679FA" w:rsidRDefault="00C679FA"/>
    <w:sectPr w:rsidR="00C679FA">
      <w:type w:val="continuous"/>
      <w:pgSz w:w="12240" w:h="15840"/>
      <w:pgMar w:top="112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6DE3"/>
    <w:rsid w:val="001B4C5A"/>
    <w:rsid w:val="00C679FA"/>
    <w:rsid w:val="00D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31C7DD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6"/>
      <w:ind w:left="56"/>
    </w:pPr>
  </w:style>
  <w:style w:type="character" w:styleId="Hyperlink">
    <w:name w:val="Hyperlink"/>
    <w:basedOn w:val="Absatz-Standardschriftart"/>
    <w:uiPriority w:val="99"/>
    <w:unhideWhenUsed/>
    <w:rsid w:val="001B4C5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loewenberg@allpharm.de" TargetMode="External"/><Relationship Id="rId5" Type="http://schemas.openxmlformats.org/officeDocument/2006/relationships/hyperlink" Target="http://www.allpharm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 I S T E</dc:subject>
  <dc:creator>IFA Postfach</dc:creator>
  <cp:lastModifiedBy>Lena Kilian</cp:lastModifiedBy>
  <cp:revision>2</cp:revision>
  <dcterms:created xsi:type="dcterms:W3CDTF">2022-09-22T10:31:00Z</dcterms:created>
  <dcterms:modified xsi:type="dcterms:W3CDTF">2022-09-23T14:24:00Z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