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B3A1B" w14:textId="77777777" w:rsidR="004F30FD" w:rsidRDefault="00000000">
      <w:pPr>
        <w:pStyle w:val="Textkrper"/>
        <w:spacing w:before="74"/>
        <w:ind w:left="155"/>
      </w:pPr>
      <w:r>
        <w:rPr>
          <w:spacing w:val="-2"/>
        </w:rPr>
        <w:t>Produktinformation</w:t>
      </w:r>
    </w:p>
    <w:p w14:paraId="73B10C40" w14:textId="77777777" w:rsidR="004F30FD" w:rsidRDefault="004F30FD">
      <w:pPr>
        <w:spacing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4"/>
      </w:tblGrid>
      <w:tr w:rsidR="004F30FD" w14:paraId="2C400B96" w14:textId="77777777">
        <w:trPr>
          <w:trHeight w:val="662"/>
        </w:trPr>
        <w:tc>
          <w:tcPr>
            <w:tcW w:w="4986" w:type="dxa"/>
          </w:tcPr>
          <w:p w14:paraId="6A2FE969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Produktbezeichnung</w:t>
            </w:r>
          </w:p>
        </w:tc>
        <w:tc>
          <w:tcPr>
            <w:tcW w:w="5054" w:type="dxa"/>
          </w:tcPr>
          <w:p w14:paraId="4B1A4C37" w14:textId="77777777" w:rsidR="004F30FD" w:rsidRDefault="00000000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doc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nature’s</w:t>
            </w:r>
            <w:proofErr w:type="spellEnd"/>
          </w:p>
          <w:p w14:paraId="4AEAC979" w14:textId="77777777" w:rsidR="004F30FD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Echte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Bienenwachs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Ohrkerzen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mm</w:t>
            </w:r>
          </w:p>
        </w:tc>
      </w:tr>
      <w:tr w:rsidR="004F30FD" w14:paraId="471DBCC8" w14:textId="77777777">
        <w:trPr>
          <w:trHeight w:val="385"/>
        </w:trPr>
        <w:tc>
          <w:tcPr>
            <w:tcW w:w="4986" w:type="dxa"/>
          </w:tcPr>
          <w:p w14:paraId="30095129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Marke</w:t>
            </w:r>
          </w:p>
        </w:tc>
        <w:tc>
          <w:tcPr>
            <w:tcW w:w="5054" w:type="dxa"/>
          </w:tcPr>
          <w:p w14:paraId="707B594C" w14:textId="77777777" w:rsidR="004F30FD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phytolabor</w:t>
            </w:r>
            <w:proofErr w:type="spellEnd"/>
          </w:p>
        </w:tc>
      </w:tr>
      <w:tr w:rsidR="004F30FD" w14:paraId="3460F269" w14:textId="77777777">
        <w:trPr>
          <w:trHeight w:val="387"/>
        </w:trPr>
        <w:tc>
          <w:tcPr>
            <w:tcW w:w="4986" w:type="dxa"/>
          </w:tcPr>
          <w:p w14:paraId="5AE02E61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Inhalt</w:t>
            </w:r>
          </w:p>
        </w:tc>
        <w:tc>
          <w:tcPr>
            <w:tcW w:w="5054" w:type="dxa"/>
          </w:tcPr>
          <w:p w14:paraId="65602464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>
              <w:rPr>
                <w:spacing w:val="-2"/>
                <w:sz w:val="24"/>
              </w:rPr>
              <w:t>Stück</w:t>
            </w:r>
          </w:p>
        </w:tc>
      </w:tr>
      <w:tr w:rsidR="004F30FD" w14:paraId="033EDCC0" w14:textId="77777777">
        <w:trPr>
          <w:trHeight w:val="385"/>
        </w:trPr>
        <w:tc>
          <w:tcPr>
            <w:tcW w:w="4986" w:type="dxa"/>
          </w:tcPr>
          <w:p w14:paraId="06407712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Rechtlicher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Status</w:t>
            </w:r>
          </w:p>
        </w:tc>
        <w:tc>
          <w:tcPr>
            <w:tcW w:w="5054" w:type="dxa"/>
          </w:tcPr>
          <w:p w14:paraId="7224A79B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Bedarfsgegenstand</w:t>
            </w:r>
          </w:p>
        </w:tc>
      </w:tr>
      <w:tr w:rsidR="004F30FD" w14:paraId="7D55C407" w14:textId="77777777">
        <w:trPr>
          <w:trHeight w:val="385"/>
        </w:trPr>
        <w:tc>
          <w:tcPr>
            <w:tcW w:w="4986" w:type="dxa"/>
          </w:tcPr>
          <w:p w14:paraId="516E0E2D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PZN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</w:t>
            </w:r>
          </w:p>
        </w:tc>
        <w:tc>
          <w:tcPr>
            <w:tcW w:w="5054" w:type="dxa"/>
          </w:tcPr>
          <w:p w14:paraId="0622BA67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18264260</w:t>
            </w:r>
          </w:p>
        </w:tc>
      </w:tr>
      <w:tr w:rsidR="004F30FD" w14:paraId="2D22F508" w14:textId="77777777">
        <w:trPr>
          <w:trHeight w:val="387"/>
        </w:trPr>
        <w:tc>
          <w:tcPr>
            <w:tcW w:w="4986" w:type="dxa"/>
          </w:tcPr>
          <w:p w14:paraId="5E4E2CBD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GTIN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(Stück)</w:t>
            </w:r>
          </w:p>
        </w:tc>
        <w:tc>
          <w:tcPr>
            <w:tcW w:w="5054" w:type="dxa"/>
          </w:tcPr>
          <w:p w14:paraId="78173396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4024691094373</w:t>
            </w:r>
          </w:p>
        </w:tc>
      </w:tr>
      <w:tr w:rsidR="004F30FD" w14:paraId="7E113596" w14:textId="77777777">
        <w:trPr>
          <w:trHeight w:val="385"/>
        </w:trPr>
        <w:tc>
          <w:tcPr>
            <w:tcW w:w="4986" w:type="dxa"/>
          </w:tcPr>
          <w:p w14:paraId="311F1158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Anwendungsgebiet:/Anwendung:</w:t>
            </w:r>
          </w:p>
        </w:tc>
        <w:tc>
          <w:tcPr>
            <w:tcW w:w="5054" w:type="dxa"/>
          </w:tcPr>
          <w:p w14:paraId="0FE923DB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Ohrkerzen,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Ohren</w:t>
            </w:r>
          </w:p>
        </w:tc>
      </w:tr>
      <w:tr w:rsidR="004F30FD" w14:paraId="3A3E9902" w14:textId="77777777">
        <w:trPr>
          <w:trHeight w:val="2595"/>
        </w:trPr>
        <w:tc>
          <w:tcPr>
            <w:tcW w:w="4986" w:type="dxa"/>
          </w:tcPr>
          <w:p w14:paraId="7541C20F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Kurztext</w:t>
            </w:r>
          </w:p>
        </w:tc>
        <w:tc>
          <w:tcPr>
            <w:tcW w:w="5054" w:type="dxa"/>
          </w:tcPr>
          <w:p w14:paraId="76BEC257" w14:textId="77777777" w:rsidR="004F30FD" w:rsidRDefault="00000000">
            <w:pPr>
              <w:pStyle w:val="TableParagraph"/>
              <w:ind w:right="1195"/>
              <w:rPr>
                <w:b/>
                <w:sz w:val="24"/>
              </w:rPr>
            </w:pPr>
            <w:r>
              <w:rPr>
                <w:b/>
                <w:sz w:val="24"/>
              </w:rPr>
              <w:t>Echte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Bienenwachs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Ohrkerzen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mm für Erwachsene</w:t>
            </w:r>
          </w:p>
          <w:p w14:paraId="0F327E6B" w14:textId="77777777" w:rsidR="004F30FD" w:rsidRDefault="004F30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1F287743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Naturprodukt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100 %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reinem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Bienenwachs</w:t>
            </w:r>
          </w:p>
          <w:p w14:paraId="6E73F524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Sogwirkung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bringt Druckausgleich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</w:t>
            </w:r>
          </w:p>
          <w:p w14:paraId="719061EF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reinigt Stirnhöhlen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Ohrenbereich</w:t>
            </w:r>
          </w:p>
          <w:p w14:paraId="4B09F167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regelmäßigen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Ohrenhygiene</w:t>
            </w:r>
          </w:p>
          <w:p w14:paraId="577EE5B1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saugt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überschüssiges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Ohrenschmalz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ab</w:t>
            </w:r>
          </w:p>
        </w:tc>
      </w:tr>
      <w:tr w:rsidR="004F30FD" w14:paraId="12966E7E" w14:textId="77777777">
        <w:trPr>
          <w:trHeight w:val="5629"/>
        </w:trPr>
        <w:tc>
          <w:tcPr>
            <w:tcW w:w="4986" w:type="dxa"/>
          </w:tcPr>
          <w:p w14:paraId="0E80B62D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Langtext</w:t>
            </w:r>
          </w:p>
        </w:tc>
        <w:tc>
          <w:tcPr>
            <w:tcW w:w="5054" w:type="dxa"/>
          </w:tcPr>
          <w:p w14:paraId="7AD984A8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Herstellung:</w:t>
            </w:r>
          </w:p>
          <w:p w14:paraId="05C31699" w14:textId="77777777" w:rsidR="004F30FD" w:rsidRDefault="00000000">
            <w:pPr>
              <w:pStyle w:val="TableParagraph"/>
              <w:spacing w:before="0"/>
              <w:ind w:right="122"/>
              <w:rPr>
                <w:sz w:val="24"/>
              </w:rPr>
            </w:pPr>
            <w:r>
              <w:rPr>
                <w:sz w:val="24"/>
              </w:rPr>
              <w:t>Die Ohrenkerze ist ein altes und seit Jahrhunderten, in Handarbeit hergestelltes, bewährtes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Naturheilmittel. Die Ohrenkerze ist ein Naturprodukt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aus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reinem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Bienenwachs,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 dank ihrer einfachen Anwendung und Verträglichkeit (vor allem auch für Kinder) in Europa einen immer größeren Beliebtheitsgrad erworben hat.</w:t>
            </w:r>
          </w:p>
          <w:p w14:paraId="28469EE9" w14:textId="77777777" w:rsidR="004F30FD" w:rsidRDefault="004F30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384B1461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pacing w:val="-2"/>
                <w:sz w:val="24"/>
              </w:rPr>
              <w:t>Wirkungsweise:</w:t>
            </w:r>
          </w:p>
          <w:p w14:paraId="3359AEDF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 xml:space="preserve">Viele Naturvölker verwenden Ohrenkerzen schon seit </w:t>
            </w:r>
            <w:proofErr w:type="gramStart"/>
            <w:r>
              <w:rPr>
                <w:sz w:val="24"/>
              </w:rPr>
              <w:t>Jahrhunderten</w:t>
            </w:r>
            <w:proofErr w:type="gramEnd"/>
            <w:r>
              <w:rPr>
                <w:sz w:val="24"/>
              </w:rPr>
              <w:t xml:space="preserve"> um Erkrankungen im Kopfbereich zu lindern, Stirnhöhlen und Ohrenbereich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zu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reinigen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entspannte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Weise regelmäßig Ohrhygiene zu betreiben. Die Sogwirkung bringt Druckausgleich in den Ohren – Gifte und überschüssiges Ohrenschmalz werden </w:t>
            </w:r>
            <w:r>
              <w:rPr>
                <w:spacing w:val="-2"/>
                <w:sz w:val="24"/>
              </w:rPr>
              <w:t>abgesaugt.</w:t>
            </w:r>
          </w:p>
        </w:tc>
      </w:tr>
      <w:tr w:rsidR="004F30FD" w14:paraId="1C964067" w14:textId="77777777">
        <w:trPr>
          <w:trHeight w:val="1215"/>
        </w:trPr>
        <w:tc>
          <w:tcPr>
            <w:tcW w:w="4986" w:type="dxa"/>
          </w:tcPr>
          <w:p w14:paraId="30198435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Anwendung:</w:t>
            </w:r>
          </w:p>
        </w:tc>
        <w:tc>
          <w:tcPr>
            <w:tcW w:w="5054" w:type="dxa"/>
          </w:tcPr>
          <w:p w14:paraId="5DF1B414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Die Anwendung erfolgt in einer bequemen Seitenlage.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Lassen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Kerze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einer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zweiten Person anzünden, die auch für eine senkrechte Stellung der Kerze sorgt. Die Kerze ca. zu 2/3</w:t>
            </w:r>
          </w:p>
        </w:tc>
      </w:tr>
    </w:tbl>
    <w:p w14:paraId="4B3180CA" w14:textId="77777777" w:rsidR="004F30FD" w:rsidRDefault="004F30FD">
      <w:pPr>
        <w:rPr>
          <w:sz w:val="24"/>
        </w:rPr>
        <w:sectPr w:rsidR="004F30FD">
          <w:type w:val="continuous"/>
          <w:pgSz w:w="12240" w:h="15840"/>
          <w:pgMar w:top="1060" w:right="1000" w:bottom="280" w:left="98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6"/>
        <w:gridCol w:w="5054"/>
      </w:tblGrid>
      <w:tr w:rsidR="004F30FD" w14:paraId="4496A847" w14:textId="77777777">
        <w:trPr>
          <w:trHeight w:val="2042"/>
        </w:trPr>
        <w:tc>
          <w:tcPr>
            <w:tcW w:w="4986" w:type="dxa"/>
          </w:tcPr>
          <w:p w14:paraId="4526A943" w14:textId="77777777" w:rsidR="004F30FD" w:rsidRDefault="004F30F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4" w:type="dxa"/>
          </w:tcPr>
          <w:p w14:paraId="77384E0C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abbrennen,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(ungefähr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cm)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einem </w:t>
            </w:r>
            <w:r>
              <w:rPr>
                <w:spacing w:val="-2"/>
                <w:sz w:val="24"/>
              </w:rPr>
              <w:t>bereitgestellten Wasserglas löschen.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Anschließend </w:t>
            </w:r>
            <w:r>
              <w:rPr>
                <w:sz w:val="24"/>
              </w:rPr>
              <w:t xml:space="preserve">mit einem Wattestäbchen das Ohr reinigen. </w:t>
            </w:r>
            <w:proofErr w:type="gramStart"/>
            <w:r>
              <w:rPr>
                <w:sz w:val="24"/>
              </w:rPr>
              <w:t>Den selben</w:t>
            </w:r>
            <w:proofErr w:type="gramEnd"/>
            <w:r>
              <w:rPr>
                <w:sz w:val="24"/>
              </w:rPr>
              <w:t xml:space="preserve"> Vorgang bei dem 2. Ohr wiederholen.</w:t>
            </w:r>
          </w:p>
          <w:p w14:paraId="461712FA" w14:textId="77777777" w:rsidR="004F30FD" w:rsidRDefault="00000000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täglich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eine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Woche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wiederholen.</w:t>
            </w:r>
          </w:p>
          <w:p w14:paraId="7E3FDAF5" w14:textId="77777777" w:rsidR="004F30FD" w:rsidRDefault="004F30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2BFD68C" w14:textId="77777777" w:rsidR="004F30FD" w:rsidRDefault="00000000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Grundsätzlich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immer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beide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Ohren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behandeln.</w:t>
            </w:r>
          </w:p>
        </w:tc>
      </w:tr>
      <w:tr w:rsidR="004F30FD" w14:paraId="41639562" w14:textId="77777777">
        <w:trPr>
          <w:trHeight w:val="385"/>
        </w:trPr>
        <w:tc>
          <w:tcPr>
            <w:tcW w:w="4986" w:type="dxa"/>
          </w:tcPr>
          <w:p w14:paraId="62C28987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Zutaten</w:t>
            </w:r>
          </w:p>
        </w:tc>
        <w:tc>
          <w:tcPr>
            <w:tcW w:w="5054" w:type="dxa"/>
          </w:tcPr>
          <w:p w14:paraId="5C22E2CC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30FD" w14:paraId="50763B1E" w14:textId="77777777">
        <w:trPr>
          <w:trHeight w:val="387"/>
        </w:trPr>
        <w:tc>
          <w:tcPr>
            <w:tcW w:w="4986" w:type="dxa"/>
          </w:tcPr>
          <w:p w14:paraId="2466B24F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Nährwerte</w:t>
            </w:r>
          </w:p>
        </w:tc>
        <w:tc>
          <w:tcPr>
            <w:tcW w:w="5054" w:type="dxa"/>
          </w:tcPr>
          <w:p w14:paraId="12D35526" w14:textId="77777777" w:rsidR="004F30FD" w:rsidRDefault="00000000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 w:rsidR="004F30FD" w14:paraId="3DD6564C" w14:textId="77777777">
        <w:trPr>
          <w:trHeight w:val="5076"/>
        </w:trPr>
        <w:tc>
          <w:tcPr>
            <w:tcW w:w="4986" w:type="dxa"/>
          </w:tcPr>
          <w:p w14:paraId="62C6BD19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Wichtige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Hinweise</w:t>
            </w:r>
          </w:p>
        </w:tc>
        <w:tc>
          <w:tcPr>
            <w:tcW w:w="5054" w:type="dxa"/>
          </w:tcPr>
          <w:p w14:paraId="7D5141B1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Gefahrenhinweise:</w:t>
            </w:r>
          </w:p>
          <w:p w14:paraId="31522CCC" w14:textId="77777777" w:rsidR="004F30F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207"/>
              <w:rPr>
                <w:sz w:val="24"/>
              </w:rPr>
            </w:pPr>
            <w:r>
              <w:rPr>
                <w:sz w:val="24"/>
              </w:rPr>
              <w:t>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empfehlenswert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Anwendung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mit einer zweiten Person auszuführen.</w:t>
            </w:r>
          </w:p>
          <w:p w14:paraId="388D4D93" w14:textId="77777777" w:rsidR="004F30F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147"/>
              <w:rPr>
                <w:sz w:val="24"/>
              </w:rPr>
            </w:pPr>
            <w:r>
              <w:rPr>
                <w:sz w:val="24"/>
              </w:rPr>
              <w:t>Achten Sie auf Ihre Haare – legen Sie bei 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Anwendung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ein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Tuch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zum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Schutz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Ihrer Haare um Ihr Ohr.</w:t>
            </w:r>
          </w:p>
          <w:p w14:paraId="1FE5D479" w14:textId="77777777" w:rsidR="004F30F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158"/>
              <w:rPr>
                <w:sz w:val="24"/>
              </w:rPr>
            </w:pPr>
            <w:r>
              <w:rPr>
                <w:sz w:val="24"/>
              </w:rPr>
              <w:t xml:space="preserve">Achten Sie bitte (bzw. die zweite Person) auf eine exakte senkrechte Haltung der </w:t>
            </w:r>
            <w:proofErr w:type="spellStart"/>
            <w:r>
              <w:rPr>
                <w:sz w:val="24"/>
              </w:rPr>
              <w:t>Ohrkerze</w:t>
            </w:r>
            <w:proofErr w:type="spellEnd"/>
            <w:r>
              <w:rPr>
                <w:sz w:val="24"/>
              </w:rPr>
              <w:t>, damit ein gleichmäßiges Abbrennen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gewährleistet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ist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(Tropfgefahr).</w:t>
            </w:r>
          </w:p>
          <w:p w14:paraId="4F14F827" w14:textId="77777777" w:rsidR="004F30FD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768"/>
              </w:tabs>
              <w:spacing w:before="0"/>
              <w:ind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Bei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akuten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und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schweren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Erkrankungen im Ohr – Kopfbereich unbedingt Rücksprache mit Ihrem Arzt halten.</w:t>
            </w:r>
          </w:p>
          <w:p w14:paraId="7280D3F8" w14:textId="77777777" w:rsidR="004F30FD" w:rsidRDefault="004F30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5350CF32" w14:textId="77777777" w:rsidR="004F30FD" w:rsidRDefault="00000000">
            <w:pPr>
              <w:pStyle w:val="TableParagraph"/>
              <w:spacing w:before="0"/>
              <w:ind w:right="1195"/>
              <w:rPr>
                <w:sz w:val="24"/>
              </w:rPr>
            </w:pPr>
            <w:r>
              <w:rPr>
                <w:sz w:val="24"/>
              </w:rPr>
              <w:t>Bitte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beachten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Angaben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auf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der </w:t>
            </w:r>
            <w:r>
              <w:rPr>
                <w:spacing w:val="-2"/>
                <w:sz w:val="24"/>
              </w:rPr>
              <w:t>Verpackung.</w:t>
            </w:r>
          </w:p>
          <w:p w14:paraId="5E29A5FA" w14:textId="77777777" w:rsidR="004F30FD" w:rsidRDefault="004F30F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</w:p>
          <w:p w14:paraId="7ED14879" w14:textId="77777777" w:rsidR="004F30FD" w:rsidRDefault="00000000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Erzeugt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Österreich.</w:t>
            </w:r>
          </w:p>
        </w:tc>
      </w:tr>
      <w:tr w:rsidR="004F30FD" w:rsidRPr="00EF39A9" w14:paraId="05A8E125" w14:textId="77777777">
        <w:trPr>
          <w:trHeight w:val="663"/>
        </w:trPr>
        <w:tc>
          <w:tcPr>
            <w:tcW w:w="4986" w:type="dxa"/>
          </w:tcPr>
          <w:p w14:paraId="62B983B0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Weitere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Informationen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unter</w:t>
            </w:r>
          </w:p>
        </w:tc>
        <w:tc>
          <w:tcPr>
            <w:tcW w:w="5054" w:type="dxa"/>
          </w:tcPr>
          <w:p w14:paraId="01FDEE3A" w14:textId="62C51C61" w:rsidR="004F30FD" w:rsidRPr="00EF39A9" w:rsidRDefault="00EF39A9">
            <w:pPr>
              <w:pStyle w:val="TableParagraph"/>
              <w:ind w:right="3333"/>
              <w:rPr>
                <w:sz w:val="24"/>
                <w:lang w:val="en-US"/>
              </w:rPr>
            </w:pPr>
            <w:hyperlink r:id="rId5" w:history="1">
              <w:r w:rsidRPr="00942820">
                <w:rPr>
                  <w:rStyle w:val="Hyperlink"/>
                </w:rPr>
                <w:t>www.allpharm.de</w:t>
              </w:r>
            </w:hyperlink>
            <w:r>
              <w:t xml:space="preserve"> </w:t>
            </w:r>
          </w:p>
        </w:tc>
      </w:tr>
      <w:tr w:rsidR="004F30FD" w14:paraId="34488E77" w14:textId="77777777">
        <w:trPr>
          <w:trHeight w:val="2040"/>
        </w:trPr>
        <w:tc>
          <w:tcPr>
            <w:tcW w:w="4986" w:type="dxa"/>
          </w:tcPr>
          <w:p w14:paraId="3AD1F327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SEO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Keywords</w:t>
            </w:r>
            <w:proofErr w:type="gramEnd"/>
            <w:r>
              <w:rPr>
                <w:spacing w:val="-2"/>
                <w:sz w:val="24"/>
              </w:rPr>
              <w:t>:</w:t>
            </w:r>
          </w:p>
        </w:tc>
        <w:tc>
          <w:tcPr>
            <w:tcW w:w="5054" w:type="dxa"/>
          </w:tcPr>
          <w:p w14:paraId="2369FE2B" w14:textId="77777777" w:rsidR="004F30FD" w:rsidRDefault="0000000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echte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bienenwachs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mm, </w:t>
            </w:r>
            <w:proofErr w:type="spellStart"/>
            <w:r>
              <w:rPr>
                <w:sz w:val="24"/>
              </w:rPr>
              <w:t>doc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nature’s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bienenwachs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, echte </w:t>
            </w:r>
            <w:proofErr w:type="spellStart"/>
            <w:r>
              <w:rPr>
                <w:sz w:val="24"/>
              </w:rPr>
              <w:t>bienenwachs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bienenwachs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kaufen,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kaufen </w:t>
            </w:r>
            <w:proofErr w:type="spellStart"/>
            <w:r>
              <w:rPr>
                <w:sz w:val="24"/>
              </w:rPr>
              <w:t>österreich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ohrenkerzen</w:t>
            </w:r>
            <w:proofErr w:type="spellEnd"/>
            <w:r>
              <w:rPr>
                <w:sz w:val="24"/>
              </w:rPr>
              <w:t xml:space="preserve"> wo kaufen,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drogerie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apotheke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reformhaus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ohrkerzen</w:t>
            </w:r>
            <w:proofErr w:type="spellEnd"/>
            <w:r>
              <w:rPr>
                <w:sz w:val="24"/>
              </w:rPr>
              <w:t xml:space="preserve"> erwachsene</w:t>
            </w:r>
          </w:p>
        </w:tc>
      </w:tr>
      <w:tr w:rsidR="004F30FD" w14:paraId="1396D311" w14:textId="77777777">
        <w:trPr>
          <w:trHeight w:val="1490"/>
        </w:trPr>
        <w:tc>
          <w:tcPr>
            <w:tcW w:w="4986" w:type="dxa"/>
          </w:tcPr>
          <w:p w14:paraId="5E8E32B6" w14:textId="74129B2F" w:rsidR="004F30FD" w:rsidRDefault="00EF39A9">
            <w:pPr>
              <w:pStyle w:val="TableParagraph"/>
              <w:ind w:left="47"/>
              <w:rPr>
                <w:sz w:val="24"/>
              </w:rPr>
            </w:pPr>
            <w:r>
              <w:rPr>
                <w:spacing w:val="-2"/>
                <w:sz w:val="24"/>
              </w:rPr>
              <w:t>Vertrieb Deutschland</w:t>
            </w:r>
          </w:p>
        </w:tc>
        <w:tc>
          <w:tcPr>
            <w:tcW w:w="5054" w:type="dxa"/>
          </w:tcPr>
          <w:p w14:paraId="7DB60652" w14:textId="77777777" w:rsidR="00EF39A9" w:rsidRPr="002D71B1" w:rsidRDefault="00EF39A9" w:rsidP="00EF39A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Allpharm Vertriebs-GmbH</w:t>
            </w:r>
          </w:p>
          <w:p w14:paraId="4B1D608A" w14:textId="77777777" w:rsidR="00EF39A9" w:rsidRPr="002D71B1" w:rsidRDefault="00EF39A9" w:rsidP="00EF39A9">
            <w:pPr>
              <w:pStyle w:val="TableParagraph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Langgasse 63</w:t>
            </w:r>
          </w:p>
          <w:p w14:paraId="410D6593" w14:textId="77777777" w:rsidR="00EF39A9" w:rsidRDefault="00EF39A9" w:rsidP="00EF39A9">
            <w:pPr>
              <w:pStyle w:val="TableParagraph"/>
              <w:spacing w:before="0"/>
              <w:ind w:right="3239"/>
              <w:rPr>
                <w:spacing w:val="-2"/>
                <w:sz w:val="24"/>
              </w:rPr>
            </w:pPr>
            <w:r w:rsidRPr="002D71B1">
              <w:rPr>
                <w:spacing w:val="-2"/>
                <w:sz w:val="24"/>
              </w:rPr>
              <w:t>64409 Messel</w:t>
            </w:r>
          </w:p>
          <w:p w14:paraId="72B7E345" w14:textId="39FE9145" w:rsidR="004F30FD" w:rsidRDefault="00EF39A9" w:rsidP="00EF39A9">
            <w:pPr>
              <w:pStyle w:val="TableParagraph"/>
              <w:spacing w:before="0"/>
              <w:ind w:right="1926"/>
              <w:rPr>
                <w:sz w:val="24"/>
              </w:rPr>
            </w:pPr>
            <w:hyperlink r:id="rId6" w:history="1">
              <w:r w:rsidRPr="00942820">
                <w:rPr>
                  <w:rStyle w:val="Hyperlink"/>
                  <w:sz w:val="24"/>
                </w:rPr>
                <w:t>b.loewenberg@allpharm.de</w:t>
              </w:r>
            </w:hyperlink>
          </w:p>
        </w:tc>
      </w:tr>
      <w:tr w:rsidR="004F30FD" w14:paraId="097EA1D2" w14:textId="77777777">
        <w:trPr>
          <w:trHeight w:val="385"/>
        </w:trPr>
        <w:tc>
          <w:tcPr>
            <w:tcW w:w="4986" w:type="dxa"/>
          </w:tcPr>
          <w:p w14:paraId="1C2BF68A" w14:textId="77777777" w:rsidR="004F30FD" w:rsidRDefault="00000000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Information</w:t>
            </w:r>
          </w:p>
        </w:tc>
        <w:tc>
          <w:tcPr>
            <w:tcW w:w="5054" w:type="dxa"/>
          </w:tcPr>
          <w:p w14:paraId="5D9DCAEC" w14:textId="77777777" w:rsidR="004F30FD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14.09.2022, </w:t>
            </w:r>
            <w:r>
              <w:rPr>
                <w:spacing w:val="-5"/>
                <w:sz w:val="24"/>
              </w:rPr>
              <w:t>JS</w:t>
            </w:r>
          </w:p>
        </w:tc>
      </w:tr>
    </w:tbl>
    <w:p w14:paraId="5A129FD9" w14:textId="77777777" w:rsidR="009953C8" w:rsidRDefault="009953C8"/>
    <w:sectPr w:rsidR="009953C8">
      <w:type w:val="continuous"/>
      <w:pgSz w:w="12240" w:h="15840"/>
      <w:pgMar w:top="112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B1FCB"/>
    <w:multiLevelType w:val="hybridMultilevel"/>
    <w:tmpl w:val="E9667692"/>
    <w:lvl w:ilvl="0" w:tplc="1D98BA5E">
      <w:start w:val="1"/>
      <w:numFmt w:val="decimal"/>
      <w:lvlText w:val="%1."/>
      <w:lvlJc w:val="left"/>
      <w:pPr>
        <w:ind w:left="768" w:hanging="360"/>
        <w:jc w:val="left"/>
      </w:pPr>
      <w:rPr>
        <w:rFonts w:hint="default"/>
        <w:w w:val="100"/>
        <w:lang w:val="de-DE" w:eastAsia="en-US" w:bidi="ar-SA"/>
      </w:rPr>
    </w:lvl>
    <w:lvl w:ilvl="1" w:tplc="3D3ED186">
      <w:numFmt w:val="bullet"/>
      <w:lvlText w:val="•"/>
      <w:lvlJc w:val="left"/>
      <w:pPr>
        <w:ind w:left="1188" w:hanging="360"/>
      </w:pPr>
      <w:rPr>
        <w:rFonts w:hint="default"/>
        <w:lang w:val="de-DE" w:eastAsia="en-US" w:bidi="ar-SA"/>
      </w:rPr>
    </w:lvl>
    <w:lvl w:ilvl="2" w:tplc="8B420876">
      <w:numFmt w:val="bullet"/>
      <w:lvlText w:val="•"/>
      <w:lvlJc w:val="left"/>
      <w:pPr>
        <w:ind w:left="1617" w:hanging="360"/>
      </w:pPr>
      <w:rPr>
        <w:rFonts w:hint="default"/>
        <w:lang w:val="de-DE" w:eastAsia="en-US" w:bidi="ar-SA"/>
      </w:rPr>
    </w:lvl>
    <w:lvl w:ilvl="3" w:tplc="E79AB196">
      <w:numFmt w:val="bullet"/>
      <w:lvlText w:val="•"/>
      <w:lvlJc w:val="left"/>
      <w:pPr>
        <w:ind w:left="2046" w:hanging="360"/>
      </w:pPr>
      <w:rPr>
        <w:rFonts w:hint="default"/>
        <w:lang w:val="de-DE" w:eastAsia="en-US" w:bidi="ar-SA"/>
      </w:rPr>
    </w:lvl>
    <w:lvl w:ilvl="4" w:tplc="554C9B34">
      <w:numFmt w:val="bullet"/>
      <w:lvlText w:val="•"/>
      <w:lvlJc w:val="left"/>
      <w:pPr>
        <w:ind w:left="2475" w:hanging="360"/>
      </w:pPr>
      <w:rPr>
        <w:rFonts w:hint="default"/>
        <w:lang w:val="de-DE" w:eastAsia="en-US" w:bidi="ar-SA"/>
      </w:rPr>
    </w:lvl>
    <w:lvl w:ilvl="5" w:tplc="91D8A882">
      <w:numFmt w:val="bullet"/>
      <w:lvlText w:val="•"/>
      <w:lvlJc w:val="left"/>
      <w:pPr>
        <w:ind w:left="2904" w:hanging="360"/>
      </w:pPr>
      <w:rPr>
        <w:rFonts w:hint="default"/>
        <w:lang w:val="de-DE" w:eastAsia="en-US" w:bidi="ar-SA"/>
      </w:rPr>
    </w:lvl>
    <w:lvl w:ilvl="6" w:tplc="369424DA">
      <w:numFmt w:val="bullet"/>
      <w:lvlText w:val="•"/>
      <w:lvlJc w:val="left"/>
      <w:pPr>
        <w:ind w:left="3333" w:hanging="360"/>
      </w:pPr>
      <w:rPr>
        <w:rFonts w:hint="default"/>
        <w:lang w:val="de-DE" w:eastAsia="en-US" w:bidi="ar-SA"/>
      </w:rPr>
    </w:lvl>
    <w:lvl w:ilvl="7" w:tplc="0242F5C4">
      <w:numFmt w:val="bullet"/>
      <w:lvlText w:val="•"/>
      <w:lvlJc w:val="left"/>
      <w:pPr>
        <w:ind w:left="3762" w:hanging="360"/>
      </w:pPr>
      <w:rPr>
        <w:rFonts w:hint="default"/>
        <w:lang w:val="de-DE" w:eastAsia="en-US" w:bidi="ar-SA"/>
      </w:rPr>
    </w:lvl>
    <w:lvl w:ilvl="8" w:tplc="17183168">
      <w:numFmt w:val="bullet"/>
      <w:lvlText w:val="•"/>
      <w:lvlJc w:val="left"/>
      <w:pPr>
        <w:ind w:left="4191" w:hanging="360"/>
      </w:pPr>
      <w:rPr>
        <w:rFonts w:hint="default"/>
        <w:lang w:val="de-DE" w:eastAsia="en-US" w:bidi="ar-SA"/>
      </w:rPr>
    </w:lvl>
  </w:abstractNum>
  <w:num w:numId="1" w16cid:durableId="511996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30FD"/>
    <w:rsid w:val="004F30FD"/>
    <w:rsid w:val="009953C8"/>
    <w:rsid w:val="00E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9489C6"/>
  <w15:docId w15:val="{FA6B006C-CF41-414D-9EA8-F206B193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Times New Roman" w:eastAsia="Times New Roman" w:hAnsi="Times New Roman" w:cs="Times New Roman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spacing w:before="54"/>
      <w:ind w:left="48"/>
    </w:pPr>
  </w:style>
  <w:style w:type="character" w:styleId="Hyperlink">
    <w:name w:val="Hyperlink"/>
    <w:basedOn w:val="Absatz-Standardschriftart"/>
    <w:uiPriority w:val="99"/>
    <w:unhideWhenUsed/>
    <w:rsid w:val="00EF39A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3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loewenberg@allpharm.de" TargetMode="External"/><Relationship Id="rId5" Type="http://schemas.openxmlformats.org/officeDocument/2006/relationships/hyperlink" Target="http://www.allphar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Lena Kilian</cp:lastModifiedBy>
  <cp:revision>2</cp:revision>
  <dcterms:created xsi:type="dcterms:W3CDTF">2022-09-21T10:45:00Z</dcterms:created>
  <dcterms:modified xsi:type="dcterms:W3CDTF">2022-09-23T14:15:00Z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7.2</vt:lpwstr>
  </property>
  <property fmtid="{D5CDD505-2E9C-101B-9397-08002B2CF9AE}" pid="5" name="LastSaved">
    <vt:filetime>2022-09-14T00:00:00Z</vt:filetime>
  </property>
</Properties>
</file>