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315729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729" w:rsidRPr="00315729" w:rsidRDefault="009C23DB" w:rsidP="00315729">
            <w:pPr>
              <w:rPr>
                <w:b/>
                <w:bCs/>
              </w:rPr>
            </w:pPr>
            <w:r w:rsidRPr="000D269A">
              <w:rPr>
                <w:b/>
                <w:iCs/>
              </w:rPr>
              <w:t>PZN:</w:t>
            </w:r>
            <w:r w:rsidR="00315729">
              <w:rPr>
                <w:b/>
                <w:i/>
              </w:rPr>
              <w:br/>
            </w:r>
            <w:r w:rsidR="000D269A">
              <w:rPr>
                <w:b/>
                <w:bCs/>
              </w:rPr>
              <w:t>16910810</w:t>
            </w:r>
          </w:p>
          <w:p w:rsidR="009C23DB" w:rsidRPr="000D269A" w:rsidRDefault="009C23DB" w:rsidP="00315729">
            <w:pPr>
              <w:rPr>
                <w:b/>
                <w:iCs/>
              </w:rPr>
            </w:pPr>
            <w:proofErr w:type="spellStart"/>
            <w:r w:rsidRPr="000D269A">
              <w:rPr>
                <w:b/>
                <w:iCs/>
              </w:rPr>
              <w:t>USP’s</w:t>
            </w:r>
            <w:proofErr w:type="spellEnd"/>
            <w:r w:rsidRPr="000D269A">
              <w:rPr>
                <w:b/>
                <w:iCs/>
              </w:rPr>
              <w:t>:</w:t>
            </w:r>
          </w:p>
          <w:p w:rsidR="00315729" w:rsidRPr="00315729" w:rsidRDefault="009C23DB" w:rsidP="00315729">
            <w:pPr>
              <w:spacing w:after="0"/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0D269A">
              <w:rPr>
                <w:b/>
              </w:rPr>
              <w:t xml:space="preserve">Mineralsalzmischung mit Kaliumchlorid zur Verwendung als Ersatz für herkömmliches Kochsalz. Trägt zur Aufrechterhaltung eines normalen Blutdrucks bei. </w:t>
            </w:r>
          </w:p>
          <w:p w:rsidR="00244900" w:rsidRPr="00315729" w:rsidRDefault="00244900" w:rsidP="00315729">
            <w:pPr>
              <w:spacing w:after="0"/>
              <w:rPr>
                <w:rFonts w:ascii="Asap" w:hAnsi="Asap"/>
                <w:color w:val="999999"/>
                <w:sz w:val="21"/>
                <w:szCs w:val="21"/>
                <w:shd w:val="clear" w:color="auto" w:fill="FFFFFF"/>
              </w:rPr>
            </w:pPr>
          </w:p>
          <w:p w:rsidR="00244900" w:rsidRDefault="009C23DB" w:rsidP="000D269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0D269A">
              <w:rPr>
                <w:b/>
              </w:rPr>
              <w:t>Blutdrucksalz</w:t>
            </w:r>
            <w:r w:rsidR="00315729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0D269A" w:rsidRPr="000D269A">
              <w:t>Raab Blutdrucksalz ist eine Mineralsalzmischung, die</w:t>
            </w:r>
            <w:r w:rsidR="000D269A">
              <w:t xml:space="preserve"> </w:t>
            </w:r>
            <w:r w:rsidR="000D269A" w:rsidRPr="000D269A">
              <w:t>nur 66,7 % Natriumchlorid (Kochsalz) und zusätzlich</w:t>
            </w:r>
            <w:r w:rsidR="000D269A">
              <w:t xml:space="preserve"> </w:t>
            </w:r>
            <w:r w:rsidR="000D269A" w:rsidRPr="000D269A">
              <w:t xml:space="preserve">Kaliumchlorid enthält. So </w:t>
            </w:r>
            <w:proofErr w:type="spellStart"/>
            <w:r w:rsidR="000D269A" w:rsidRPr="000D269A">
              <w:t>müssen</w:t>
            </w:r>
            <w:proofErr w:type="spellEnd"/>
            <w:r w:rsidR="000D269A" w:rsidRPr="000D269A">
              <w:t xml:space="preserve"> Sie nicht auf vollen</w:t>
            </w:r>
            <w:r w:rsidR="000D269A">
              <w:t xml:space="preserve"> </w:t>
            </w:r>
            <w:r w:rsidR="000D269A" w:rsidRPr="000D269A">
              <w:t>Geschmack verzichten. Das</w:t>
            </w:r>
            <w:r w:rsidR="000D269A">
              <w:t xml:space="preserve"> </w:t>
            </w:r>
            <w:r w:rsidR="000D269A" w:rsidRPr="000D269A">
              <w:t>enthaltene Kalium trägt</w:t>
            </w:r>
            <w:r w:rsidR="000D269A">
              <w:t xml:space="preserve"> </w:t>
            </w:r>
            <w:r w:rsidR="000D269A" w:rsidRPr="000D269A">
              <w:t>zur Aufrechterhaltung eines normalen Blutdrucks bei.</w:t>
            </w:r>
            <w:r w:rsidR="000D269A">
              <w:t xml:space="preserve"> </w:t>
            </w:r>
          </w:p>
          <w:p w:rsidR="000D269A" w:rsidRPr="00244900" w:rsidRDefault="000D269A" w:rsidP="000D269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B2599" w:rsidRPr="00315729" w:rsidRDefault="00FB2599" w:rsidP="00315729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315729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315729" w:rsidRPr="00315729" w:rsidRDefault="009C23DB" w:rsidP="00315729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315729">
              <w:br/>
            </w:r>
            <w:r w:rsidR="00315729" w:rsidRPr="00315729">
              <w:t>Kühl, trocken und gut verschlossen lagern. Füllhöhe technisch bedingt.</w:t>
            </w:r>
            <w:r w:rsidR="00315729">
              <w:br/>
            </w:r>
            <w:r w:rsidR="00315729" w:rsidRPr="00315729">
              <w:t>Raab Vitalfood verwendet nur beste Rohstoffe und kontrolliert sämtliche Produkte auf Rückstände und den ausgelobten Nährstoffgehalt.</w:t>
            </w:r>
          </w:p>
          <w:p w:rsidR="00315729" w:rsidRPr="00315729" w:rsidRDefault="00440F23" w:rsidP="00315729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15729" w:rsidRPr="00315729">
              <w:t xml:space="preserve">Inhalt = </w:t>
            </w:r>
            <w:r w:rsidR="000D269A">
              <w:t>2</w:t>
            </w:r>
            <w:r w:rsidR="00315729" w:rsidRPr="00315729">
              <w:t>00 g</w:t>
            </w:r>
          </w:p>
          <w:p w:rsidR="0088637C" w:rsidRPr="0088637C" w:rsidRDefault="00440F23" w:rsidP="0088637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88637C" w:rsidRPr="0088637C">
              <w:t>66,7 % Natriumchlorid</w:t>
            </w:r>
            <w:r w:rsidR="0088637C">
              <w:t>*</w:t>
            </w:r>
            <w:r w:rsidR="0088637C" w:rsidRPr="0088637C">
              <w:t>, 33 % Kaliumchlorid,</w:t>
            </w:r>
            <w:r w:rsidR="0088637C">
              <w:t xml:space="preserve"> </w:t>
            </w:r>
            <w:r w:rsidR="0088637C" w:rsidRPr="0088637C">
              <w:t>Magnesiumcarbonat</w:t>
            </w:r>
          </w:p>
          <w:p w:rsidR="00315729" w:rsidRDefault="0088637C" w:rsidP="0088637C">
            <w:r w:rsidRPr="0088637C">
              <w:t>(</w:t>
            </w:r>
            <w:r>
              <w:t xml:space="preserve">*aus </w:t>
            </w:r>
            <w:r w:rsidRPr="0088637C">
              <w:t>Deutschland)</w:t>
            </w:r>
          </w:p>
          <w:p w:rsidR="00E12AC0" w:rsidRDefault="00E12AC0" w:rsidP="00E12AC0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>
              <w:rPr>
                <w:b/>
              </w:rPr>
              <w:t xml:space="preserve">Verwendung </w:t>
            </w:r>
            <w:r>
              <w:rPr>
                <w:b/>
              </w:rPr>
              <w:t>&lt;/h7&gt;</w:t>
            </w:r>
          </w:p>
          <w:p w:rsidR="00E12AC0" w:rsidRPr="00E12AC0" w:rsidRDefault="00E12AC0" w:rsidP="00E12AC0">
            <w:pPr>
              <w:autoSpaceDE w:val="0"/>
              <w:autoSpaceDN w:val="0"/>
              <w:adjustRightInd w:val="0"/>
              <w:spacing w:after="0" w:line="240" w:lineRule="auto"/>
            </w:pPr>
            <w:r w:rsidRPr="00E12AC0">
              <w:t>Verwenden Sie das Raab Blutdrucksalz</w:t>
            </w:r>
            <w:r>
              <w:t xml:space="preserve"> </w:t>
            </w:r>
            <w:r w:rsidRPr="00E12AC0">
              <w:t xml:space="preserve">als Ersatz </w:t>
            </w:r>
            <w:proofErr w:type="spellStart"/>
            <w:r w:rsidRPr="00E12AC0">
              <w:t>für</w:t>
            </w:r>
            <w:proofErr w:type="spellEnd"/>
            <w:r>
              <w:t xml:space="preserve"> </w:t>
            </w:r>
            <w:r w:rsidRPr="00E12AC0">
              <w:t>gewöhnliches Kochsalz in allen Speisen</w:t>
            </w:r>
          </w:p>
          <w:p w:rsidR="00E12AC0" w:rsidRDefault="00E12AC0" w:rsidP="00E12AC0">
            <w:pPr>
              <w:autoSpaceDE w:val="0"/>
              <w:autoSpaceDN w:val="0"/>
              <w:adjustRightInd w:val="0"/>
              <w:spacing w:after="0" w:line="240" w:lineRule="auto"/>
            </w:pPr>
            <w:r w:rsidRPr="00E12AC0">
              <w:t>und Gerichten.</w:t>
            </w:r>
            <w:r>
              <w:t xml:space="preserve"> </w:t>
            </w:r>
            <w:r w:rsidRPr="00E12AC0">
              <w:t>Die oben genannte positive Wirkung tritt bereits ab</w:t>
            </w:r>
            <w:r>
              <w:t xml:space="preserve"> </w:t>
            </w:r>
            <w:r w:rsidRPr="00E12AC0">
              <w:t>einem Verzehr von täglich 2,5 g</w:t>
            </w:r>
            <w:r>
              <w:t xml:space="preserve"> </w:t>
            </w:r>
            <w:r w:rsidRPr="00E12AC0">
              <w:t>der Mineralsalzmischung</w:t>
            </w:r>
            <w:r>
              <w:t xml:space="preserve"> </w:t>
            </w:r>
            <w:r w:rsidRPr="00E12AC0">
              <w:t>ein. Eine abwechslungsreiche, ausgewogene</w:t>
            </w:r>
            <w:r>
              <w:t xml:space="preserve"> </w:t>
            </w:r>
            <w:r w:rsidRPr="00E12AC0">
              <w:t>Ernährung und eine gesunde Lebensweise sind von</w:t>
            </w:r>
            <w:r>
              <w:t xml:space="preserve"> </w:t>
            </w:r>
            <w:r w:rsidRPr="00E12AC0">
              <w:t>großer Bedeutung.</w:t>
            </w:r>
          </w:p>
          <w:p w:rsidR="00E12AC0" w:rsidRPr="00315729" w:rsidRDefault="00E12AC0" w:rsidP="00E12AC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318D7" w:rsidRPr="00B631B5" w:rsidRDefault="000318D7" w:rsidP="00315729">
            <w:pPr>
              <w:rPr>
                <w:b/>
              </w:rPr>
            </w:pPr>
            <w:r>
              <w:rPr>
                <w:b/>
              </w:rPr>
              <w:t>&lt;h</w:t>
            </w:r>
            <w:r w:rsidR="0031572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Nährwerte &lt;/h</w:t>
            </w:r>
            <w:r w:rsidR="00315729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8"/>
              <w:gridCol w:w="1966"/>
              <w:gridCol w:w="50"/>
              <w:gridCol w:w="36"/>
              <w:gridCol w:w="36"/>
              <w:gridCol w:w="2445"/>
              <w:gridCol w:w="50"/>
              <w:gridCol w:w="36"/>
            </w:tblGrid>
            <w:tr w:rsidR="006F4C10" w:rsidRPr="00315729" w:rsidTr="006F4C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315729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315729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 2,5 g *(NRV)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</w:p>
              </w:tc>
            </w:tr>
            <w:tr w:rsidR="006F4C10" w:rsidRPr="00315729" w:rsidTr="006F4C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  <w:r w:rsidRPr="00315729">
                    <w:t>Energie *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  <w:r>
                    <w:t>0</w:t>
                  </w:r>
                  <w:r w:rsidRPr="00315729">
                    <w:t xml:space="preserve"> kJ / </w:t>
                  </w:r>
                  <w:r>
                    <w:t>0</w:t>
                  </w:r>
                  <w:r w:rsidRPr="00315729">
                    <w:t xml:space="preserve"> kcal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  <w:r>
                    <w:t>0</w:t>
                  </w:r>
                  <w:r w:rsidRPr="00315729">
                    <w:t xml:space="preserve"> kJ / </w:t>
                  </w:r>
                  <w:r>
                    <w:t>0</w:t>
                  </w:r>
                  <w:r w:rsidRPr="00315729">
                    <w:t xml:space="preserve"> kcal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</w:tr>
            <w:tr w:rsidR="006F4C10" w:rsidRPr="00315729" w:rsidTr="006F4C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  <w:r w:rsidRPr="00315729">
                    <w:lastRenderedPageBreak/>
                    <w:t>Fett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  <w:r w:rsidRPr="00315729">
                    <w:t>0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  <w:r w:rsidRPr="00315729">
                    <w:t>0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</w:tr>
            <w:tr w:rsidR="006F4C10" w:rsidRPr="00315729" w:rsidTr="006F4C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  <w:r w:rsidRPr="00315729">
                    <w:t>- davon gesättigte Fettsäuren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  <w:r w:rsidRPr="00315729">
                    <w:t>0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  <w:r w:rsidRPr="00315729">
                    <w:t>0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0D269A">
                  <w:pPr>
                    <w:framePr w:hSpace="141" w:wrap="around" w:vAnchor="text" w:hAnchor="margin" w:y="-767"/>
                  </w:pPr>
                </w:p>
              </w:tc>
            </w:tr>
            <w:tr w:rsidR="006F4C10" w:rsidRPr="00315729" w:rsidTr="00D7055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 w:rsidRPr="00315729">
                    <w:t>Kohlenhydrate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>
                    <w:t>0</w:t>
                  </w:r>
                  <w:r w:rsidRPr="00315729">
                    <w:t xml:space="preserve">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center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>
                    <w:t>0</w:t>
                  </w:r>
                  <w:r w:rsidRPr="00315729">
                    <w:t xml:space="preserve">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</w:tr>
            <w:tr w:rsidR="006F4C10" w:rsidRPr="00315729" w:rsidTr="006F4C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 w:rsidRPr="00315729">
                    <w:t>- davon Zucker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 w:rsidRPr="00315729">
                    <w:t>0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 w:rsidRPr="00315729">
                    <w:t>0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</w:tr>
            <w:tr w:rsidR="006F4C10" w:rsidRPr="00315729" w:rsidTr="006F4C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 w:rsidRPr="00315729">
                    <w:t>Eiweiß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 w:rsidRPr="00315729">
                    <w:t>0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 w:rsidRPr="00315729">
                    <w:t>0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</w:tr>
            <w:tr w:rsidR="006F4C10" w:rsidRPr="00315729" w:rsidTr="006F4C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 w:rsidRPr="00315729">
                    <w:t>Salz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>
                    <w:t>66,7</w:t>
                  </w:r>
                  <w:r w:rsidRPr="00315729">
                    <w:t xml:space="preserve">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C140EE" w:rsidP="006F4C10">
                  <w:pPr>
                    <w:framePr w:hSpace="141" w:wrap="around" w:vAnchor="text" w:hAnchor="margin" w:y="-767"/>
                  </w:pPr>
                  <w:r>
                    <w:t>1,7 g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</w:tr>
            <w:tr w:rsidR="006F4C10" w:rsidRPr="00315729" w:rsidTr="006F4C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>
                    <w:t xml:space="preserve">Kalium </w:t>
                  </w:r>
                </w:p>
              </w:tc>
              <w:tc>
                <w:tcPr>
                  <w:tcW w:w="1966" w:type="dxa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>
                    <w:t>17300 mg (865 %)</w:t>
                  </w:r>
                </w:p>
              </w:tc>
              <w:tc>
                <w:tcPr>
                  <w:tcW w:w="50" w:type="dxa"/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2445" w:type="dxa"/>
                  <w:shd w:val="clear" w:color="auto" w:fill="EEEEEE"/>
                </w:tcPr>
                <w:p w:rsidR="006F4C10" w:rsidRPr="00315729" w:rsidRDefault="00C140EE" w:rsidP="006F4C10">
                  <w:pPr>
                    <w:framePr w:hSpace="141" w:wrap="around" w:vAnchor="text" w:hAnchor="margin" w:y="-767"/>
                  </w:pPr>
                  <w:r>
                    <w:t>433 mg (22 %)</w:t>
                  </w:r>
                </w:p>
              </w:tc>
              <w:tc>
                <w:tcPr>
                  <w:tcW w:w="50" w:type="dxa"/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</w:tr>
            <w:tr w:rsidR="006F4C10" w:rsidRPr="00315729" w:rsidTr="006F4C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  <w:r>
                    <w:t xml:space="preserve">* entspricht der empfohlenen Tagesportion </w:t>
                  </w:r>
                  <w:r>
                    <w:br/>
                    <w:t>NRV: Prozent der Nährstoffbezugswerte</w:t>
                  </w:r>
                </w:p>
              </w:tc>
              <w:tc>
                <w:tcPr>
                  <w:tcW w:w="1966" w:type="dxa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50" w:type="dxa"/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2445" w:type="dxa"/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50" w:type="dxa"/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</w:tcPr>
                <w:p w:rsidR="006F4C10" w:rsidRPr="00315729" w:rsidRDefault="006F4C10" w:rsidP="006F4C10">
                  <w:pPr>
                    <w:framePr w:hSpace="141" w:wrap="around" w:vAnchor="text" w:hAnchor="margin" w:y="-767"/>
                  </w:pPr>
                </w:p>
              </w:tc>
            </w:tr>
          </w:tbl>
          <w:p w:rsidR="000318D7" w:rsidRDefault="000318D7" w:rsidP="00315729"/>
          <w:p w:rsidR="009C23DB" w:rsidRPr="009C23DB" w:rsidRDefault="009C23DB" w:rsidP="00315729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315729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D269A"/>
    <w:rsid w:val="000E4CAA"/>
    <w:rsid w:val="00151D42"/>
    <w:rsid w:val="0018611A"/>
    <w:rsid w:val="001E3E53"/>
    <w:rsid w:val="00233710"/>
    <w:rsid w:val="00244900"/>
    <w:rsid w:val="00261230"/>
    <w:rsid w:val="0028422F"/>
    <w:rsid w:val="00315729"/>
    <w:rsid w:val="003F3C85"/>
    <w:rsid w:val="00440F23"/>
    <w:rsid w:val="004B3D1C"/>
    <w:rsid w:val="00523133"/>
    <w:rsid w:val="006110EB"/>
    <w:rsid w:val="006678D0"/>
    <w:rsid w:val="006A6742"/>
    <w:rsid w:val="006C40C3"/>
    <w:rsid w:val="006F4C10"/>
    <w:rsid w:val="00712593"/>
    <w:rsid w:val="00734A4C"/>
    <w:rsid w:val="0088637C"/>
    <w:rsid w:val="00896F23"/>
    <w:rsid w:val="009335FF"/>
    <w:rsid w:val="009A24DE"/>
    <w:rsid w:val="009C23DB"/>
    <w:rsid w:val="00A85D46"/>
    <w:rsid w:val="00BF4108"/>
    <w:rsid w:val="00C140EE"/>
    <w:rsid w:val="00C2795A"/>
    <w:rsid w:val="00C54B46"/>
    <w:rsid w:val="00CE59CF"/>
    <w:rsid w:val="00CF625B"/>
    <w:rsid w:val="00D26DC6"/>
    <w:rsid w:val="00DC31CE"/>
    <w:rsid w:val="00DF0D38"/>
    <w:rsid w:val="00E12AC0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C26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4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9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781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7</cp:revision>
  <cp:lastPrinted>2018-09-10T12:29:00Z</cp:lastPrinted>
  <dcterms:created xsi:type="dcterms:W3CDTF">2019-08-22T12:14:00Z</dcterms:created>
  <dcterms:modified xsi:type="dcterms:W3CDTF">2020-11-12T09:59:00Z</dcterms:modified>
</cp:coreProperties>
</file>