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9D37B9" w:rsidRDefault="009C23DB" w:rsidP="009C23DB">
            <w:pPr>
              <w:rPr>
                <w:b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9D37B9" w:rsidRPr="009D37B9">
              <w:rPr>
                <w:b/>
              </w:rPr>
              <w:t>166 620 51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7F13C5" w:rsidRDefault="009C23DB" w:rsidP="007F13C5">
            <w:pPr>
              <w:pStyle w:val="KeinLeerraum"/>
              <w:rPr>
                <w:b/>
                <w:bCs/>
              </w:rPr>
            </w:pPr>
            <w:r w:rsidRPr="001350AD">
              <w:t xml:space="preserve">- </w:t>
            </w:r>
            <w:r w:rsidR="009D37B9" w:rsidRPr="009D37B9">
              <w:rPr>
                <w:b/>
                <w:bCs/>
              </w:rPr>
              <w:t xml:space="preserve">Nahrungsergänzungsmittel mit </w:t>
            </w:r>
            <w:proofErr w:type="spellStart"/>
            <w:r w:rsidR="009D37B9" w:rsidRPr="009D37B9">
              <w:rPr>
                <w:b/>
                <w:bCs/>
              </w:rPr>
              <w:t>Astragalus</w:t>
            </w:r>
            <w:proofErr w:type="spellEnd"/>
            <w:r w:rsidR="009D37B9" w:rsidRPr="009D37B9">
              <w:rPr>
                <w:b/>
                <w:bCs/>
              </w:rPr>
              <w:t xml:space="preserve">-Extrakt, Milchsäurebakterien, Biotin, Calcium, Vitamin C &amp; Zink. Mit </w:t>
            </w:r>
            <w:proofErr w:type="spellStart"/>
            <w:r w:rsidR="009D37B9" w:rsidRPr="009D37B9">
              <w:rPr>
                <w:b/>
                <w:bCs/>
              </w:rPr>
              <w:t>Astragalus</w:t>
            </w:r>
            <w:proofErr w:type="spellEnd"/>
            <w:r w:rsidR="009D37B9" w:rsidRPr="009D37B9">
              <w:rPr>
                <w:b/>
                <w:bCs/>
              </w:rPr>
              <w:t xml:space="preserve">-Extrakt, </w:t>
            </w:r>
            <w:proofErr w:type="spellStart"/>
            <w:r w:rsidR="009D37B9" w:rsidRPr="009D37B9">
              <w:rPr>
                <w:b/>
                <w:bCs/>
              </w:rPr>
              <w:t>Lactobacillus</w:t>
            </w:r>
            <w:proofErr w:type="spellEnd"/>
            <w:r w:rsidR="009D37B9" w:rsidRPr="009D37B9">
              <w:rPr>
                <w:b/>
                <w:bCs/>
              </w:rPr>
              <w:t xml:space="preserve">- und </w:t>
            </w:r>
            <w:proofErr w:type="spellStart"/>
            <w:r w:rsidR="009D37B9" w:rsidRPr="009D37B9">
              <w:rPr>
                <w:b/>
                <w:bCs/>
              </w:rPr>
              <w:t>Bifidokulturen</w:t>
            </w:r>
            <w:proofErr w:type="spellEnd"/>
            <w:r w:rsidR="007F13C5">
              <w:rPr>
                <w:b/>
                <w:bCs/>
              </w:rPr>
              <w:br/>
            </w:r>
          </w:p>
          <w:p w:rsidR="005B2002" w:rsidRDefault="009C23DB" w:rsidP="009C23DB"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9D37B9" w:rsidRPr="009D37B9">
              <w:rPr>
                <w:b/>
              </w:rPr>
              <w:t>Blütezeit Kapseln</w:t>
            </w:r>
            <w:r w:rsidR="009D37B9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proofErr w:type="spellStart"/>
            <w:r w:rsidR="009D37B9" w:rsidRPr="009D37B9">
              <w:t>Blütezeit</w:t>
            </w:r>
            <w:proofErr w:type="spellEnd"/>
            <w:r w:rsidR="009D37B9" w:rsidRPr="009D37B9">
              <w:t xml:space="preserve"> Kapseln vereinen einen hochwertigen Pflanzenextrakt aus der </w:t>
            </w:r>
            <w:proofErr w:type="spellStart"/>
            <w:r w:rsidR="009D37B9" w:rsidRPr="009D37B9">
              <w:t>Astragaluswurzel</w:t>
            </w:r>
            <w:proofErr w:type="spellEnd"/>
            <w:r w:rsidR="009D37B9" w:rsidRPr="009D37B9">
              <w:t xml:space="preserve"> mit wertvollen Mineralstoffen, Spurenelementen und Vitaminen. Ergänzt wird die Rezeptur durch passende und im Rahmen von Forschungsstudien gut untersuchte </w:t>
            </w:r>
            <w:proofErr w:type="spellStart"/>
            <w:r w:rsidR="009D37B9" w:rsidRPr="009D37B9">
              <w:t>Lactobacillus</w:t>
            </w:r>
            <w:proofErr w:type="spellEnd"/>
            <w:r w:rsidR="009D37B9" w:rsidRPr="009D37B9">
              <w:t xml:space="preserve">- und </w:t>
            </w:r>
            <w:proofErr w:type="spellStart"/>
            <w:r w:rsidR="009D37B9" w:rsidRPr="009D37B9">
              <w:t>Bifidokulturen</w:t>
            </w:r>
            <w:proofErr w:type="spellEnd"/>
            <w:r w:rsidR="009D37B9" w:rsidRPr="009D37B9">
              <w:t>. Die Inhaltsstoffe sind optimal aufeinander abgestimmt.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8707D0" w:rsidRPr="008707D0" w:rsidRDefault="008707D0" w:rsidP="008707D0">
            <w:pPr>
              <w:pStyle w:val="KeinLeerraum"/>
            </w:pP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5B2002" w:rsidRPr="005B2002" w:rsidRDefault="004B3D1C" w:rsidP="005B2002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5B2002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5B2002" w:rsidRPr="005B2002">
              <w:t>Hergestellt in Deutschland</w:t>
            </w:r>
          </w:p>
          <w:p w:rsidR="005B2002" w:rsidRPr="005B2002" w:rsidRDefault="005B2002" w:rsidP="005B2002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B2002">
              <w:t>Für Vegetarier und Veganer geeignet</w:t>
            </w:r>
          </w:p>
          <w:p w:rsidR="005B2002" w:rsidRPr="005B2002" w:rsidRDefault="005B2002" w:rsidP="005B2002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B2002">
              <w:t xml:space="preserve">Gluten- und </w:t>
            </w:r>
            <w:proofErr w:type="spellStart"/>
            <w:r w:rsidRPr="005B2002">
              <w:t>laktosefrei</w:t>
            </w:r>
            <w:proofErr w:type="spellEnd"/>
          </w:p>
          <w:p w:rsidR="005B2002" w:rsidRPr="005B2002" w:rsidRDefault="005B2002" w:rsidP="005B2002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B2002">
              <w:t>Bio-Kennzeichnung: DE-ÖKO-001 Deutschland-Landwirtschaft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9D37B9" w:rsidRPr="009D37B9" w:rsidRDefault="009D37B9" w:rsidP="009D37B9">
            <w:pPr>
              <w:pStyle w:val="KeinLeerraum"/>
            </w:pPr>
            <w:r w:rsidRPr="009D37B9">
              <w:t xml:space="preserve">Die angegebene empfohlene Tagesverzehrmenge darf nicht </w:t>
            </w:r>
            <w:proofErr w:type="spellStart"/>
            <w:r w:rsidRPr="009D37B9">
              <w:t>überschritten</w:t>
            </w:r>
            <w:proofErr w:type="spellEnd"/>
            <w:r w:rsidRPr="009D37B9">
              <w:t xml:space="preserve"> werden. Nahrungsergänzungsmittel sind kein Ersatz </w:t>
            </w:r>
            <w:proofErr w:type="spellStart"/>
            <w:r w:rsidRPr="009D37B9">
              <w:t>für</w:t>
            </w:r>
            <w:proofErr w:type="spellEnd"/>
            <w:r w:rsidRPr="009D37B9">
              <w:t xml:space="preserve"> eine abwechslungsreiche und ausgewogene Ernährung. Außerhalb der Reichweite von kleinen Kindern aufbewahren. Eine abwechslungsreiche, ausgewogene Ernährung und eine gesunde Lebensweise sind von großer Bedeutung. Nicht geeignet </w:t>
            </w:r>
            <w:proofErr w:type="spellStart"/>
            <w:r w:rsidRPr="009D37B9">
              <w:t>für</w:t>
            </w:r>
            <w:proofErr w:type="spellEnd"/>
            <w:r w:rsidRPr="009D37B9">
              <w:t xml:space="preserve"> Schwangere, Stillende und Kinder. Vor Licht und Wärme </w:t>
            </w:r>
            <w:proofErr w:type="spellStart"/>
            <w:r w:rsidRPr="009D37B9">
              <w:t>geschützt</w:t>
            </w:r>
            <w:proofErr w:type="spellEnd"/>
            <w:r w:rsidRPr="009D37B9">
              <w:t>, trocken und gut verschlossen lagern.</w:t>
            </w:r>
          </w:p>
          <w:p w:rsidR="005B2002" w:rsidRDefault="005B2002" w:rsidP="009C23DB">
            <w:pPr>
              <w:pStyle w:val="KeinLeerraum"/>
            </w:pPr>
          </w:p>
          <w:p w:rsidR="005B2002" w:rsidRDefault="00440F23" w:rsidP="005B2002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5B2002" w:rsidRPr="005B2002" w:rsidRDefault="005B2002" w:rsidP="005B2002">
            <w:r w:rsidRPr="005B2002">
              <w:t xml:space="preserve">Füllmenge = </w:t>
            </w:r>
            <w:r w:rsidR="009D37B9" w:rsidRPr="009D37B9">
              <w:t>45 g, 90 Kapseln à 500 mg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9D37B9" w:rsidRDefault="009D37B9" w:rsidP="009D37B9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proofErr w:type="spellStart"/>
            <w:r>
              <w:rPr>
                <w:rStyle w:val="s1"/>
              </w:rPr>
              <w:t>Astragalus</w:t>
            </w:r>
            <w:proofErr w:type="spellEnd"/>
            <w:r>
              <w:rPr>
                <w:rStyle w:val="s1"/>
              </w:rPr>
              <w:t xml:space="preserve"> </w:t>
            </w:r>
            <w:proofErr w:type="spellStart"/>
            <w:r>
              <w:rPr>
                <w:rStyle w:val="s1"/>
              </w:rPr>
              <w:t>membranaceus</w:t>
            </w:r>
            <w:proofErr w:type="spellEnd"/>
            <w:r>
              <w:t xml:space="preserve">-Extrakt, Calciumcarbonat, Agaveninulin Pulver, </w:t>
            </w:r>
            <w:proofErr w:type="spellStart"/>
            <w:r>
              <w:t>Acerola</w:t>
            </w:r>
            <w:proofErr w:type="spellEnd"/>
            <w:r>
              <w:t xml:space="preserve"> Pulver (55 % </w:t>
            </w:r>
            <w:proofErr w:type="spellStart"/>
            <w:r>
              <w:t>Acerolafruchtsaftkonzentrat</w:t>
            </w:r>
            <w:proofErr w:type="spellEnd"/>
            <w:r>
              <w:t xml:space="preserve">, </w:t>
            </w:r>
            <w:proofErr w:type="spellStart"/>
            <w:r>
              <w:t>Maltodextrin</w:t>
            </w:r>
            <w:proofErr w:type="spellEnd"/>
            <w:r>
              <w:t xml:space="preserve">), Milchsäurebakterien </w:t>
            </w:r>
            <w:r>
              <w:rPr>
                <w:rStyle w:val="s2"/>
              </w:rPr>
              <w:t>(</w:t>
            </w:r>
            <w:proofErr w:type="spellStart"/>
            <w:r>
              <w:t>Lactobacillus</w:t>
            </w:r>
            <w:proofErr w:type="spellEnd"/>
            <w:r>
              <w:t xml:space="preserve"> </w:t>
            </w:r>
            <w:proofErr w:type="spellStart"/>
            <w:r>
              <w:t>plantarum</w:t>
            </w:r>
            <w:proofErr w:type="spellEnd"/>
            <w:r>
              <w:t xml:space="preserve"> LP115, </w:t>
            </w:r>
            <w:proofErr w:type="spellStart"/>
            <w:r>
              <w:t>Lactobacillus</w:t>
            </w:r>
            <w:proofErr w:type="spellEnd"/>
            <w:r>
              <w:t xml:space="preserve"> </w:t>
            </w:r>
            <w:proofErr w:type="spellStart"/>
            <w:r>
              <w:t>paracasei</w:t>
            </w:r>
            <w:proofErr w:type="spellEnd"/>
            <w:r>
              <w:t xml:space="preserve"> LP33, Bi </w:t>
            </w:r>
            <w:proofErr w:type="spellStart"/>
            <w:r>
              <w:t>dobakterium</w:t>
            </w:r>
            <w:proofErr w:type="spellEnd"/>
            <w:r>
              <w:t xml:space="preserve"> </w:t>
            </w:r>
            <w:proofErr w:type="spellStart"/>
            <w:r>
              <w:t>longum</w:t>
            </w:r>
            <w:proofErr w:type="spellEnd"/>
            <w:r>
              <w:t xml:space="preserve"> SP54 (BB536)</w:t>
            </w:r>
            <w:r>
              <w:rPr>
                <w:rStyle w:val="s2"/>
              </w:rPr>
              <w:t xml:space="preserve">), </w:t>
            </w:r>
            <w:proofErr w:type="spellStart"/>
            <w:r>
              <w:t>Zinkgluconat</w:t>
            </w:r>
            <w:proofErr w:type="spellEnd"/>
            <w:r>
              <w:t>, D-Biotin</w:t>
            </w:r>
            <w:r>
              <w:t>.</w:t>
            </w:r>
          </w:p>
          <w:p w:rsidR="009D37B9" w:rsidRDefault="009D37B9" w:rsidP="00440F23">
            <w:pPr>
              <w:rPr>
                <w:b/>
              </w:rPr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1"/>
              <w:gridCol w:w="6"/>
              <w:gridCol w:w="6"/>
            </w:tblGrid>
            <w:tr w:rsidR="005B2002" w:rsidRPr="005B2002" w:rsidTr="001116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37B9" w:rsidRDefault="009D37B9" w:rsidP="009D37B9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t xml:space="preserve">Täglich morgens je 1 Kapsel und abends je 2 Kapseln zu den Mahlzeiten mit reichlich </w:t>
                  </w:r>
                  <w:proofErr w:type="spellStart"/>
                  <w:r>
                    <w:t>Flüssigkeit</w:t>
                  </w:r>
                  <w:proofErr w:type="spellEnd"/>
                  <w:r>
                    <w:t xml:space="preserve"> einnehmen. Es wird empfohlen die</w:t>
                  </w:r>
                  <w:r>
                    <w:t xml:space="preserve"> </w:t>
                  </w:r>
                  <w:r>
                    <w:t>Einnahme mit ca. 4 Wochen Vorlauf zu beginnen.</w:t>
                  </w:r>
                </w:p>
                <w:p w:rsidR="009D37B9" w:rsidRDefault="009D37B9" w:rsidP="009D37B9">
                  <w:pPr>
                    <w:framePr w:hSpace="141" w:wrap="around" w:vAnchor="text" w:hAnchor="margin" w:y="-767"/>
                    <w:rPr>
                      <w:b/>
                    </w:rPr>
                  </w:pPr>
                </w:p>
                <w:p w:rsidR="00DF0F7E" w:rsidRDefault="00DF0F7E" w:rsidP="009D37B9">
                  <w:pPr>
                    <w:framePr w:hSpace="141" w:wrap="around" w:vAnchor="text" w:hAnchor="margin" w:y="-767"/>
                    <w:rPr>
                      <w:b/>
                    </w:rPr>
                  </w:pPr>
                  <w:r>
                    <w:rPr>
                      <w:b/>
                    </w:rPr>
                    <w:t>&lt;h8&gt;</w:t>
                  </w:r>
                  <w:r w:rsidRPr="009C23DB">
                    <w:t xml:space="preserve"> </w:t>
                  </w:r>
                  <w:r>
                    <w:rPr>
                      <w:b/>
                    </w:rPr>
                    <w:t>Nährwerte &lt;/h8&gt;</w:t>
                  </w:r>
                </w:p>
                <w:tbl>
                  <w:tblPr>
                    <w:tblW w:w="9108" w:type="dxa"/>
                    <w:tblInd w:w="3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"/>
                    <w:gridCol w:w="50"/>
                    <w:gridCol w:w="55"/>
                    <w:gridCol w:w="3447"/>
                    <w:gridCol w:w="2181"/>
                    <w:gridCol w:w="3271"/>
                  </w:tblGrid>
                  <w:tr w:rsidR="00DF0F7E" w:rsidRPr="00FD6F88" w:rsidTr="00A03279">
                    <w:trPr>
                      <w:trHeight w:val="568"/>
                      <w:tblHeader/>
                    </w:trPr>
                    <w:tc>
                      <w:tcPr>
                        <w:tcW w:w="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FD6F88" w:rsidRDefault="00DF0F7E" w:rsidP="009D37B9">
                        <w:pPr>
                          <w:framePr w:hSpace="141" w:wrap="around" w:vAnchor="text" w:hAnchor="margin" w:y="-767"/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7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FD6F88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7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FD6F88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7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FD6F88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7"/>
                            <w:szCs w:val="27"/>
                            <w:lang w:eastAsia="de-DE"/>
                          </w:rPr>
                        </w:pPr>
                        <w:r w:rsidRPr="00FD6F8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7"/>
                            <w:szCs w:val="27"/>
                            <w:lang w:eastAsia="de-DE"/>
                          </w:rPr>
                          <w:t>Nährwerte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FD6F88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7"/>
                            <w:szCs w:val="27"/>
                            <w:lang w:eastAsia="de-DE"/>
                          </w:rPr>
                        </w:pPr>
                        <w:r w:rsidRPr="00FD6F88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7"/>
                            <w:szCs w:val="27"/>
                            <w:lang w:eastAsia="de-DE"/>
                          </w:rPr>
                          <w:t xml:space="preserve">pro 100 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FD6F88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7"/>
                            <w:szCs w:val="27"/>
                            <w:lang w:eastAsia="de-DE"/>
                          </w:rPr>
                        </w:pPr>
                        <w:r w:rsidRPr="00A03279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7"/>
                            <w:szCs w:val="27"/>
                            <w:lang w:eastAsia="de-DE"/>
                          </w:rPr>
                          <w:t xml:space="preserve">pro 3 Kaps. </w:t>
                        </w:r>
                        <w:r w:rsidRPr="00A03279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7"/>
                            <w:szCs w:val="27"/>
                            <w:vertAlign w:val="superscript"/>
                            <w:lang w:eastAsia="de-DE"/>
                          </w:rPr>
                          <w:t>1</w:t>
                        </w:r>
                        <w:r w:rsidRPr="00A03279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27"/>
                            <w:szCs w:val="27"/>
                            <w:lang w:eastAsia="de-DE"/>
                          </w:rPr>
                          <w:t xml:space="preserve"> (NRV)</w:t>
                        </w:r>
                      </w:p>
                    </w:tc>
                  </w:tr>
                  <w:tr w:rsidR="00DF0F7E" w:rsidRPr="00101F0A" w:rsidTr="00A03279">
                    <w:trPr>
                      <w:trHeight w:val="542"/>
                      <w:tblHeader/>
                    </w:trPr>
                    <w:tc>
                      <w:tcPr>
                        <w:tcW w:w="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9D37B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proofErr w:type="spellStart"/>
                        <w:r w:rsidRPr="009D37B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Astragalus</w:t>
                        </w:r>
                        <w:proofErr w:type="spellEnd"/>
                        <w:r w:rsidRPr="009D37B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-Extrakt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30000 mg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450</w:t>
                        </w:r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 xml:space="preserve"> mg</w:t>
                        </w:r>
                      </w:p>
                    </w:tc>
                  </w:tr>
                  <w:tr w:rsidR="00DF0F7E" w:rsidRPr="00101F0A" w:rsidTr="00A03279">
                    <w:trPr>
                      <w:trHeight w:val="530"/>
                      <w:tblHeader/>
                    </w:trPr>
                    <w:tc>
                      <w:tcPr>
                        <w:tcW w:w="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9D37B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9D37B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- davon Polysaccharide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6000 mg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90 mg</w:t>
                        </w:r>
                      </w:p>
                    </w:tc>
                  </w:tr>
                  <w:tr w:rsidR="00DF0F7E" w:rsidRPr="00101F0A" w:rsidTr="00A03279">
                    <w:trPr>
                      <w:trHeight w:val="542"/>
                      <w:tblHeader/>
                    </w:trPr>
                    <w:tc>
                      <w:tcPr>
                        <w:tcW w:w="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9D37B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9D37B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Milchsäurebakterien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333 Milliarden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90 mg</w:t>
                        </w:r>
                      </w:p>
                    </w:tc>
                  </w:tr>
                  <w:tr w:rsidR="00DF0F7E" w:rsidRPr="00101F0A" w:rsidTr="00A03279">
                    <w:trPr>
                      <w:trHeight w:val="530"/>
                      <w:tblHeader/>
                    </w:trPr>
                    <w:tc>
                      <w:tcPr>
                        <w:tcW w:w="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9D37B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proofErr w:type="spellStart"/>
                        <w:r w:rsidRPr="009D37B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Agaveninulinpulver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13000 mg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200 mg</w:t>
                        </w:r>
                      </w:p>
                    </w:tc>
                  </w:tr>
                  <w:tr w:rsidR="00DF0F7E" w:rsidRPr="00101F0A" w:rsidTr="00A03279">
                    <w:trPr>
                      <w:trHeight w:val="542"/>
                      <w:tblHeader/>
                    </w:trPr>
                    <w:tc>
                      <w:tcPr>
                        <w:tcW w:w="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9D37B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9D37B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Calcium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10667 mg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160 mg (20 %)</w:t>
                        </w:r>
                      </w:p>
                    </w:tc>
                  </w:tr>
                  <w:tr w:rsidR="00DF0F7E" w:rsidRPr="00101F0A" w:rsidTr="00A03279">
                    <w:trPr>
                      <w:trHeight w:val="530"/>
                      <w:tblHeader/>
                    </w:trPr>
                    <w:tc>
                      <w:tcPr>
                        <w:tcW w:w="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9D37B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Vitamin 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1067 mg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16 mg (20 %)</w:t>
                        </w:r>
                      </w:p>
                    </w:tc>
                  </w:tr>
                  <w:tr w:rsidR="00DF0F7E" w:rsidRPr="00101F0A" w:rsidTr="00A03279">
                    <w:trPr>
                      <w:trHeight w:val="542"/>
                      <w:tblHeader/>
                    </w:trPr>
                    <w:tc>
                      <w:tcPr>
                        <w:tcW w:w="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9D37B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Zink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147 mg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2,2 mg (22 %)</w:t>
                        </w:r>
                      </w:p>
                    </w:tc>
                  </w:tr>
                  <w:tr w:rsidR="00DF0F7E" w:rsidRPr="00101F0A" w:rsidTr="00A03279">
                    <w:trPr>
                      <w:trHeight w:val="542"/>
                      <w:tblHeader/>
                    </w:trPr>
                    <w:tc>
                      <w:tcPr>
                        <w:tcW w:w="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0F7E" w:rsidRPr="00101F0A" w:rsidRDefault="00DF0F7E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9D37B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Biotin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 xml:space="preserve">1667 </w:t>
                        </w:r>
                        <w:proofErr w:type="spellStart"/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μg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F0F7E" w:rsidRPr="00101F0A" w:rsidRDefault="00A03279" w:rsidP="009D37B9">
                        <w:pPr>
                          <w:framePr w:hSpace="141" w:wrap="around" w:vAnchor="text" w:hAnchor="margin" w:y="-767"/>
                          <w:spacing w:after="300" w:line="240" w:lineRule="auto"/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</w:pPr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 xml:space="preserve">25 </w:t>
                        </w:r>
                        <w:proofErr w:type="spellStart"/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>μg</w:t>
                        </w:r>
                        <w:proofErr w:type="spellEnd"/>
                        <w:r w:rsidRPr="00A03279">
                          <w:rPr>
                            <w:rFonts w:asciiTheme="minorHAnsi" w:eastAsia="Times New Roman" w:hAnsiTheme="minorHAnsi" w:cstheme="minorHAnsi"/>
                            <w:bCs/>
                            <w:color w:val="000000" w:themeColor="text1"/>
                            <w:sz w:val="24"/>
                            <w:szCs w:val="27"/>
                            <w:lang w:eastAsia="de-DE"/>
                          </w:rPr>
                          <w:t xml:space="preserve"> (50 %)</w:t>
                        </w:r>
                      </w:p>
                    </w:tc>
                  </w:tr>
                </w:tbl>
                <w:p w:rsidR="005B2002" w:rsidRPr="005B2002" w:rsidRDefault="00A03279" w:rsidP="009D37B9">
                  <w:pPr>
                    <w:framePr w:hSpace="141" w:wrap="around" w:vAnchor="text" w:hAnchor="margin" w:y="-767"/>
                    <w:rPr>
                      <w:b/>
                    </w:rPr>
                  </w:pPr>
                  <w:r w:rsidRPr="00E933A1">
                    <w:rPr>
                      <w:vertAlign w:val="superscript"/>
                    </w:rPr>
                    <w:t>1</w:t>
                  </w:r>
                  <w:r w:rsidRPr="00A03279">
                    <w:t>empfohlene Tagesverzehrmenge / NRV: Prozent der Nährstoffbezugswerte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2002" w:rsidRPr="005B2002" w:rsidRDefault="005B2002" w:rsidP="009D37B9">
                  <w:pPr>
                    <w:framePr w:hSpace="141" w:wrap="around" w:vAnchor="text" w:hAnchor="margin" w:y="-767"/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2002" w:rsidRPr="005B2002" w:rsidRDefault="005B2002" w:rsidP="009D37B9">
                  <w:pPr>
                    <w:framePr w:hSpace="141" w:wrap="around" w:vAnchor="text" w:hAnchor="margin" w:y="-767"/>
                    <w:rPr>
                      <w:b/>
                    </w:rPr>
                  </w:pPr>
                </w:p>
              </w:tc>
            </w:tr>
            <w:tr w:rsidR="005B2002" w:rsidRPr="005B2002" w:rsidTr="005B200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2002" w:rsidRPr="005B2002" w:rsidRDefault="005B2002" w:rsidP="009D37B9">
                  <w:pPr>
                    <w:framePr w:hSpace="141" w:wrap="around" w:vAnchor="text" w:hAnchor="margin" w:y="-767"/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2002" w:rsidRPr="005B2002" w:rsidRDefault="005B2002" w:rsidP="009D37B9">
                  <w:pPr>
                    <w:framePr w:hSpace="141" w:wrap="around" w:vAnchor="text" w:hAnchor="margin" w:y="-767"/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2002" w:rsidRPr="005B2002" w:rsidRDefault="005B2002" w:rsidP="009D37B9">
                  <w:pPr>
                    <w:framePr w:hSpace="141" w:wrap="around" w:vAnchor="text" w:hAnchor="margin" w:y="-767"/>
                    <w:rPr>
                      <w:b/>
                    </w:rPr>
                  </w:pPr>
                </w:p>
              </w:tc>
            </w:tr>
          </w:tbl>
          <w:p w:rsidR="005B2002" w:rsidRDefault="005B2002" w:rsidP="005B2002">
            <w:pPr>
              <w:rPr>
                <w:b/>
              </w:rPr>
            </w:pPr>
          </w:p>
          <w:p w:rsidR="005B2002" w:rsidRPr="005B2002" w:rsidRDefault="005B2002" w:rsidP="005B2002"/>
          <w:p w:rsidR="00440F23" w:rsidRPr="00440F23" w:rsidRDefault="00440F23" w:rsidP="00440F23"/>
          <w:p w:rsidR="008707D0" w:rsidRDefault="008707D0" w:rsidP="008707D0">
            <w:pPr>
              <w:pStyle w:val="KeinLeerraum"/>
            </w:pPr>
          </w:p>
          <w:p w:rsidR="008707D0" w:rsidRDefault="008707D0" w:rsidP="008707D0">
            <w:pPr>
              <w:pStyle w:val="KeinLeerraum"/>
            </w:pPr>
          </w:p>
          <w:p w:rsidR="008707D0" w:rsidRDefault="008707D0" w:rsidP="008707D0">
            <w:pPr>
              <w:pStyle w:val="KeinLeerraum"/>
            </w:pPr>
          </w:p>
          <w:p w:rsidR="008707D0" w:rsidRDefault="008707D0" w:rsidP="008707D0">
            <w:pPr>
              <w:pStyle w:val="KeinLeerraum"/>
            </w:pPr>
          </w:p>
          <w:p w:rsidR="00440F23" w:rsidRPr="00440F23" w:rsidRDefault="00440F23" w:rsidP="00440F23"/>
          <w:p w:rsidR="00440F23" w:rsidRPr="00440F23" w:rsidRDefault="00440F23" w:rsidP="00440F23"/>
          <w:p w:rsidR="00440F23" w:rsidRPr="00440F23" w:rsidRDefault="00440F23" w:rsidP="00440F23"/>
          <w:p w:rsidR="00440F23" w:rsidRDefault="00440F23" w:rsidP="00440F23">
            <w:pPr>
              <w:rPr>
                <w:b/>
              </w:rPr>
            </w:pPr>
          </w:p>
          <w:p w:rsidR="00440F23" w:rsidRPr="009C23DB" w:rsidRDefault="00440F23" w:rsidP="009C23DB">
            <w:pPr>
              <w:pStyle w:val="KeinLeerraum"/>
            </w:pPr>
          </w:p>
          <w:p w:rsidR="009C23DB" w:rsidRPr="009C23DB" w:rsidRDefault="009C23DB" w:rsidP="009C23DB">
            <w:pPr>
              <w:pStyle w:val="KeinLeerraum"/>
            </w:pPr>
          </w:p>
        </w:tc>
      </w:tr>
    </w:tbl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919E5"/>
    <w:rsid w:val="000B663A"/>
    <w:rsid w:val="0011168F"/>
    <w:rsid w:val="00151D42"/>
    <w:rsid w:val="0018611A"/>
    <w:rsid w:val="001E3E53"/>
    <w:rsid w:val="0028422F"/>
    <w:rsid w:val="003F3C85"/>
    <w:rsid w:val="0041265B"/>
    <w:rsid w:val="00440F23"/>
    <w:rsid w:val="004B3D1C"/>
    <w:rsid w:val="00523133"/>
    <w:rsid w:val="005B2002"/>
    <w:rsid w:val="006110EB"/>
    <w:rsid w:val="006678D0"/>
    <w:rsid w:val="006A6742"/>
    <w:rsid w:val="006C40C3"/>
    <w:rsid w:val="00734A4C"/>
    <w:rsid w:val="007F13C5"/>
    <w:rsid w:val="008707D0"/>
    <w:rsid w:val="008D5808"/>
    <w:rsid w:val="009335FF"/>
    <w:rsid w:val="009A24DE"/>
    <w:rsid w:val="009C23DB"/>
    <w:rsid w:val="009D37B9"/>
    <w:rsid w:val="00A03279"/>
    <w:rsid w:val="00A85D46"/>
    <w:rsid w:val="00C2795A"/>
    <w:rsid w:val="00C54B46"/>
    <w:rsid w:val="00CE59CF"/>
    <w:rsid w:val="00CF625B"/>
    <w:rsid w:val="00D26DC6"/>
    <w:rsid w:val="00DC31CE"/>
    <w:rsid w:val="00DC7427"/>
    <w:rsid w:val="00DF0D38"/>
    <w:rsid w:val="00DF0F7E"/>
    <w:rsid w:val="00E933A1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DBDD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1">
    <w:name w:val="s1"/>
    <w:basedOn w:val="Absatz-Standardschriftart"/>
    <w:rsid w:val="009D37B9"/>
  </w:style>
  <w:style w:type="character" w:customStyle="1" w:styleId="s2">
    <w:name w:val="s2"/>
    <w:basedOn w:val="Absatz-Standardschriftart"/>
    <w:rsid w:val="009D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421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60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6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18879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1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1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971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70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04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8078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1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8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580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6</cp:revision>
  <cp:lastPrinted>2018-09-10T12:29:00Z</cp:lastPrinted>
  <dcterms:created xsi:type="dcterms:W3CDTF">2018-12-03T15:30:00Z</dcterms:created>
  <dcterms:modified xsi:type="dcterms:W3CDTF">2020-05-12T09:09:00Z</dcterms:modified>
</cp:coreProperties>
</file>