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35C65">
              <w:t>141 601 67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035C65" w:rsidRDefault="009C23DB" w:rsidP="00035C65">
            <w:pPr>
              <w:rPr>
                <w:b/>
              </w:rPr>
            </w:pPr>
            <w:r w:rsidRPr="001350AD">
              <w:t xml:space="preserve">- </w:t>
            </w:r>
            <w:r w:rsidR="00035C65" w:rsidRPr="00035C65">
              <w:rPr>
                <w:b/>
              </w:rPr>
              <w:t xml:space="preserve">Nahrungsergänzungsmittel mit </w:t>
            </w:r>
            <w:proofErr w:type="spellStart"/>
            <w:r w:rsidR="00035C65" w:rsidRPr="00035C65">
              <w:rPr>
                <w:b/>
              </w:rPr>
              <w:t>Tribulus</w:t>
            </w:r>
            <w:proofErr w:type="spellEnd"/>
            <w:r w:rsidR="00035C65" w:rsidRPr="00035C65">
              <w:rPr>
                <w:b/>
              </w:rPr>
              <w:t xml:space="preserve">, </w:t>
            </w:r>
            <w:proofErr w:type="spellStart"/>
            <w:r w:rsidR="00035C65" w:rsidRPr="00035C65">
              <w:rPr>
                <w:b/>
              </w:rPr>
              <w:t>Maca</w:t>
            </w:r>
            <w:proofErr w:type="spellEnd"/>
            <w:r w:rsidR="00035C65" w:rsidRPr="00035C65">
              <w:rPr>
                <w:b/>
              </w:rPr>
              <w:t xml:space="preserve"> und L-Arginin sowie Magnesium und Zink</w:t>
            </w:r>
          </w:p>
          <w:p w:rsidR="00035C65" w:rsidRPr="00035C65" w:rsidRDefault="00035C65" w:rsidP="00035C65">
            <w:pPr>
              <w:rPr>
                <w:b/>
              </w:rPr>
            </w:pPr>
            <w:r>
              <w:t xml:space="preserve">- </w:t>
            </w:r>
            <w:r w:rsidRPr="00035C65">
              <w:t xml:space="preserve">mit </w:t>
            </w:r>
            <w:proofErr w:type="spellStart"/>
            <w:r w:rsidRPr="00035C65">
              <w:t>Maca</w:t>
            </w:r>
            <w:proofErr w:type="spellEnd"/>
            <w:r w:rsidRPr="00035C65">
              <w:t xml:space="preserve"> und L-Arginin</w:t>
            </w:r>
          </w:p>
          <w:p w:rsidR="00035C65" w:rsidRPr="00035C65" w:rsidRDefault="00035C65" w:rsidP="00035C65">
            <w:r>
              <w:t xml:space="preserve">- </w:t>
            </w:r>
            <w:r w:rsidRPr="00035C65">
              <w:t>mit Magnesium</w:t>
            </w:r>
          </w:p>
          <w:p w:rsidR="00035C65" w:rsidRPr="00035C65" w:rsidRDefault="00035C65" w:rsidP="00035C65">
            <w:r>
              <w:t xml:space="preserve">- </w:t>
            </w:r>
            <w:r w:rsidRPr="00035C65">
              <w:t xml:space="preserve">mit Zink </w:t>
            </w:r>
            <w:proofErr w:type="spellStart"/>
            <w:r w:rsidRPr="00035C65">
              <w:t>für</w:t>
            </w:r>
            <w:proofErr w:type="spellEnd"/>
            <w:r w:rsidRPr="00035C65">
              <w:t xml:space="preserve"> den Erhalt eines normalen Testosteronspiegels im Blut</w:t>
            </w:r>
          </w:p>
          <w:p w:rsidR="00035C65" w:rsidRDefault="009C23DB" w:rsidP="00035C65">
            <w:r>
              <w:rPr>
                <w:b/>
              </w:rPr>
              <w:t>&lt;h2&gt;</w:t>
            </w:r>
            <w:r w:rsidR="00072C10">
              <w:rPr>
                <w:b/>
              </w:rPr>
              <w:t xml:space="preserve"> </w:t>
            </w:r>
            <w:proofErr w:type="spellStart"/>
            <w:r w:rsidR="00035C65">
              <w:rPr>
                <w:b/>
              </w:rPr>
              <w:t>Tribulus</w:t>
            </w:r>
            <w:proofErr w:type="spellEnd"/>
            <w:r w:rsidR="00035C65">
              <w:rPr>
                <w:b/>
              </w:rPr>
              <w:t xml:space="preserve"> Plus</w:t>
            </w:r>
            <w:r w:rsidR="005B09E0">
              <w:rPr>
                <w:b/>
              </w:rPr>
              <w:t xml:space="preserve"> Kapseln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035C65" w:rsidRPr="00035C65">
              <w:t>Tribulus</w:t>
            </w:r>
            <w:proofErr w:type="spellEnd"/>
            <w:r w:rsidR="00035C65" w:rsidRPr="00035C65">
              <w:t xml:space="preserve"> Plus wurde speziell </w:t>
            </w:r>
            <w:proofErr w:type="spellStart"/>
            <w:r w:rsidR="00035C65" w:rsidRPr="00035C65">
              <w:t>für</w:t>
            </w:r>
            <w:proofErr w:type="spellEnd"/>
            <w:r w:rsidR="00035C65" w:rsidRPr="00035C65">
              <w:t xml:space="preserve"> den Mann entwickelt und enthält neben konzentriertem </w:t>
            </w:r>
            <w:proofErr w:type="spellStart"/>
            <w:r w:rsidR="00035C65" w:rsidRPr="00035C65">
              <w:t>Tribulus</w:t>
            </w:r>
            <w:proofErr w:type="spellEnd"/>
            <w:r w:rsidR="00035C65" w:rsidRPr="00035C65">
              <w:t xml:space="preserve">-Extrakt (entspricht 5 g </w:t>
            </w:r>
            <w:proofErr w:type="spellStart"/>
            <w:r w:rsidR="00035C65" w:rsidRPr="00035C65">
              <w:t>Tribulus</w:t>
            </w:r>
            <w:proofErr w:type="spellEnd"/>
            <w:r w:rsidR="00035C65" w:rsidRPr="00035C65">
              <w:t xml:space="preserve"> pro 4</w:t>
            </w:r>
            <w:r w:rsidR="00035C65">
              <w:t xml:space="preserve"> </w:t>
            </w:r>
            <w:r w:rsidR="00035C65" w:rsidRPr="00035C65">
              <w:t xml:space="preserve">Kapseln) </w:t>
            </w:r>
            <w:proofErr w:type="spellStart"/>
            <w:r w:rsidR="00035C65" w:rsidRPr="00035C65">
              <w:t>Maca</w:t>
            </w:r>
            <w:proofErr w:type="spellEnd"/>
            <w:r w:rsidR="00035C65" w:rsidRPr="00035C65">
              <w:t>, L-Arginin sowie Magnesium und Zink. Die Aminosäure Arginin bildet u.a. die Vorstufe von Stickstoffmonoxid, einem</w:t>
            </w:r>
            <w:r w:rsidR="00035C65">
              <w:t xml:space="preserve"> </w:t>
            </w:r>
            <w:r w:rsidR="00035C65" w:rsidRPr="00035C65">
              <w:t>Botenstoff im menschlichen Körper.</w:t>
            </w:r>
            <w:r w:rsidR="00035C65">
              <w:t xml:space="preserve"> </w:t>
            </w:r>
            <w:r w:rsidR="00035C65" w:rsidRPr="00035C65">
              <w:t xml:space="preserve">Magnesium trägt zu einer Verringerung von </w:t>
            </w:r>
            <w:proofErr w:type="spellStart"/>
            <w:r w:rsidR="00035C65" w:rsidRPr="00035C65">
              <w:t>Müdigkeit</w:t>
            </w:r>
            <w:proofErr w:type="spellEnd"/>
            <w:r w:rsidR="00035C65" w:rsidRPr="00035C65">
              <w:t xml:space="preserve"> und </w:t>
            </w:r>
            <w:proofErr w:type="spellStart"/>
            <w:r w:rsidR="00035C65" w:rsidRPr="00035C65">
              <w:t>Ermüdung</w:t>
            </w:r>
            <w:proofErr w:type="spellEnd"/>
            <w:r w:rsidR="00035C65" w:rsidRPr="00035C65">
              <w:t xml:space="preserve"> und zu einer normalen Funktion von Nervensystem und Muskeln</w:t>
            </w:r>
            <w:r w:rsidR="00035C65">
              <w:t xml:space="preserve"> </w:t>
            </w:r>
            <w:r w:rsidR="00035C65" w:rsidRPr="00035C65">
              <w:t>bei.</w:t>
            </w:r>
            <w:r w:rsidR="00035C65">
              <w:t xml:space="preserve"> </w:t>
            </w:r>
            <w:r w:rsidR="00035C65" w:rsidRPr="00035C65">
              <w:t>Zink trägt zu einer normalen Fruchtbarkeit und Reproduktion sowie zur Erhaltung eines normalen Testosteronspiegels im Blut bei.</w:t>
            </w:r>
          </w:p>
          <w:p w:rsidR="009C23DB" w:rsidRDefault="009C23DB" w:rsidP="00035C65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:rsidR="00035C65" w:rsidRPr="009C23DB" w:rsidRDefault="00035C65" w:rsidP="009C23DB">
            <w:pPr>
              <w:pStyle w:val="KeinLeerraum"/>
            </w:pPr>
            <w:r>
              <w:t xml:space="preserve">&lt;li&gt; Gluten- und </w:t>
            </w:r>
            <w:proofErr w:type="spellStart"/>
            <w:r>
              <w:t>laktosefrei</w:t>
            </w:r>
            <w:proofErr w:type="spellEnd"/>
          </w:p>
          <w:p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035C65" w:rsidRPr="00035C65" w:rsidRDefault="000A451D" w:rsidP="00035C65">
            <w:pPr>
              <w:pStyle w:val="KeinLeerraum"/>
            </w:pPr>
            <w:r w:rsidRPr="000A451D">
              <w:t xml:space="preserve">Hinweis: </w:t>
            </w:r>
            <w:r w:rsidR="00035C65" w:rsidRPr="00035C65">
              <w:t xml:space="preserve">Die angegebene empfohlene Tagesverzehrmenge darf nicht </w:t>
            </w:r>
            <w:proofErr w:type="spellStart"/>
            <w:r w:rsidR="00035C65" w:rsidRPr="00035C65">
              <w:t>überschritten</w:t>
            </w:r>
            <w:proofErr w:type="spellEnd"/>
            <w:r w:rsidR="00035C65" w:rsidRPr="00035C65">
              <w:t xml:space="preserve"> werden. Nahrungsergänzungsmittel sind kein Ersatz </w:t>
            </w:r>
            <w:proofErr w:type="spellStart"/>
            <w:r w:rsidR="00035C65" w:rsidRPr="00035C65">
              <w:t>für</w:t>
            </w:r>
            <w:proofErr w:type="spellEnd"/>
            <w:r w:rsidR="00035C65" w:rsidRPr="00035C65">
              <w:t xml:space="preserve"> eine</w:t>
            </w:r>
            <w:r w:rsidR="0065356C">
              <w:t xml:space="preserve"> </w:t>
            </w:r>
            <w:r w:rsidR="00035C65" w:rsidRPr="00035C65">
              <w:t>abwechslungsreiche und ausgewogene Ernährung. Außerhalb der Reichweite von kleinen Kindern aufbewahren. Eine abwechslungsreiche,</w:t>
            </w:r>
          </w:p>
          <w:p w:rsidR="00035C65" w:rsidRPr="00035C65" w:rsidRDefault="00035C65" w:rsidP="00035C65">
            <w:pPr>
              <w:pStyle w:val="KeinLeerraum"/>
            </w:pPr>
            <w:r w:rsidRPr="00035C65">
              <w:t>ausgewogene Ernährung und eine gesunde Lebensweise sind von großer Bedeutung.</w:t>
            </w:r>
          </w:p>
          <w:p w:rsidR="00072C10" w:rsidRDefault="00035C65" w:rsidP="00035C65">
            <w:pPr>
              <w:pStyle w:val="KeinLeerraum"/>
            </w:pPr>
            <w:r w:rsidRPr="00035C65">
              <w:t xml:space="preserve">Nicht </w:t>
            </w:r>
            <w:proofErr w:type="spellStart"/>
            <w:r w:rsidRPr="00035C65">
              <w:t>für</w:t>
            </w:r>
            <w:proofErr w:type="spellEnd"/>
            <w:r w:rsidRPr="00035C65">
              <w:t xml:space="preserve"> Kinder unter 12 Jahren, Schwangere und Stillende geeignet. Personen mit</w:t>
            </w:r>
            <w:r w:rsidR="0065356C">
              <w:t xml:space="preserve"> </w:t>
            </w:r>
            <w:proofErr w:type="spellStart"/>
            <w:r w:rsidRPr="00035C65">
              <w:t>behandlungsbedürftigen</w:t>
            </w:r>
            <w:proofErr w:type="spellEnd"/>
            <w:r w:rsidRPr="00035C65">
              <w:t xml:space="preserve"> Krankheiten sollten vor der</w:t>
            </w:r>
            <w:r w:rsidR="0065356C">
              <w:t xml:space="preserve"> </w:t>
            </w:r>
            <w:r w:rsidRPr="00035C65">
              <w:t xml:space="preserve">Einnahme mit Ihrem Arzt </w:t>
            </w:r>
            <w:proofErr w:type="spellStart"/>
            <w:r w:rsidRPr="00035C65">
              <w:t>Rücksprache</w:t>
            </w:r>
            <w:proofErr w:type="spellEnd"/>
            <w:r w:rsidRPr="00035C65">
              <w:t xml:space="preserve"> halten. </w:t>
            </w:r>
            <w:proofErr w:type="spellStart"/>
            <w:r w:rsidRPr="00035C65">
              <w:t>Kühl</w:t>
            </w:r>
            <w:proofErr w:type="spellEnd"/>
            <w:r w:rsidRPr="00035C65">
              <w:t xml:space="preserve">, trocken und gut verschlossen lagern. Vor Licht und Wärme </w:t>
            </w:r>
            <w:proofErr w:type="spellStart"/>
            <w:r w:rsidRPr="00035C65">
              <w:t>geschützt</w:t>
            </w:r>
            <w:proofErr w:type="spellEnd"/>
            <w:r w:rsidRPr="00035C65">
              <w:t>, trocken und gut</w:t>
            </w:r>
            <w:r>
              <w:t xml:space="preserve"> </w:t>
            </w:r>
            <w:r w:rsidRPr="00035C65">
              <w:t>verschlossen lagern.</w:t>
            </w:r>
          </w:p>
          <w:p w:rsidR="0065356C" w:rsidRPr="00035C65" w:rsidRDefault="0065356C" w:rsidP="00035C65">
            <w:pPr>
              <w:pStyle w:val="KeinLeerraum"/>
            </w:pPr>
          </w:p>
          <w:p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72C10" w:rsidRPr="00072C10" w:rsidRDefault="0065356C" w:rsidP="00072C10">
            <w:pPr>
              <w:rPr>
                <w:bCs/>
              </w:rPr>
            </w:pPr>
            <w:r>
              <w:rPr>
                <w:bCs/>
              </w:rPr>
              <w:t>10</w:t>
            </w:r>
            <w:r w:rsidR="00072C10" w:rsidRPr="00072C10">
              <w:rPr>
                <w:bCs/>
              </w:rPr>
              <w:t xml:space="preserve">0 Kapseln </w:t>
            </w:r>
            <w:r w:rsidR="000A451D">
              <w:rPr>
                <w:bCs/>
              </w:rPr>
              <w:t xml:space="preserve">à </w:t>
            </w:r>
            <w:r>
              <w:rPr>
                <w:bCs/>
              </w:rPr>
              <w:t>650</w:t>
            </w:r>
            <w:r w:rsidR="000A451D">
              <w:rPr>
                <w:bCs/>
              </w:rPr>
              <w:t xml:space="preserve"> mg</w:t>
            </w:r>
            <w:r>
              <w:rPr>
                <w:bCs/>
              </w:rPr>
              <w:t xml:space="preserve"> = 65</w:t>
            </w:r>
            <w:r w:rsidR="000A451D">
              <w:rPr>
                <w:bCs/>
              </w:rPr>
              <w:t xml:space="preserve"> mg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65356C" w:rsidRPr="0065356C" w:rsidRDefault="0065356C" w:rsidP="0065356C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65356C">
              <w:rPr>
                <w:rFonts w:ascii="Calibri" w:hAnsi="Calibri"/>
                <w:sz w:val="22"/>
                <w:szCs w:val="22"/>
              </w:rPr>
              <w:t xml:space="preserve">Magnesiumcitrat, 20 %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Tribulus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 xml:space="preserve"> Extrakt 10:1 (85 %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Tribulus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terrestris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 xml:space="preserve">-Extrakt, </w:t>
            </w:r>
            <w:proofErr w:type="spellStart"/>
            <w:proofErr w:type="gramStart"/>
            <w:r w:rsidRPr="0065356C">
              <w:rPr>
                <w:rFonts w:ascii="Calibri" w:hAnsi="Calibri"/>
                <w:sz w:val="22"/>
                <w:szCs w:val="22"/>
              </w:rPr>
              <w:t>Maltodextrin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 xml:space="preserve"> )</w:t>
            </w:r>
            <w:proofErr w:type="gramEnd"/>
            <w:r w:rsidRPr="0065356C">
              <w:rPr>
                <w:rFonts w:ascii="Calibri" w:hAnsi="Calibri"/>
                <w:sz w:val="22"/>
                <w:szCs w:val="22"/>
              </w:rPr>
              <w:t xml:space="preserve">, 19 %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Macawurzelpulver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>, 19 % L-Arginin,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5356C">
              <w:rPr>
                <w:rFonts w:ascii="Calibri" w:hAnsi="Calibri"/>
                <w:sz w:val="22"/>
                <w:szCs w:val="22"/>
              </w:rPr>
              <w:t xml:space="preserve">Überzugsmittel: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Hydroxypropylmethylcellulose</w:t>
            </w:r>
            <w:proofErr w:type="spellEnd"/>
            <w:r w:rsidRPr="0065356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5356C">
              <w:rPr>
                <w:rFonts w:ascii="Calibri" w:hAnsi="Calibri"/>
                <w:sz w:val="22"/>
                <w:szCs w:val="22"/>
              </w:rPr>
              <w:t>Zinkgluconat</w:t>
            </w:r>
            <w:proofErr w:type="spellEnd"/>
          </w:p>
          <w:p w:rsidR="000A451D" w:rsidRPr="0065356C" w:rsidRDefault="000A451D" w:rsidP="0065356C">
            <w:pPr>
              <w:pStyle w:val="StandardWeb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&lt;</w:t>
            </w:r>
            <w:r w:rsidRPr="0065356C">
              <w:rPr>
                <w:rFonts w:ascii="Calibri" w:hAnsi="Calibri"/>
                <w:b/>
                <w:sz w:val="22"/>
                <w:szCs w:val="22"/>
              </w:rPr>
              <w:t>h7&gt; Verzehrempfehlung &lt;/h7&gt;</w:t>
            </w:r>
          </w:p>
          <w:p w:rsidR="00440F23" w:rsidRDefault="0065356C" w:rsidP="009C23DB">
            <w:pPr>
              <w:pStyle w:val="KeinLeerraum"/>
            </w:pPr>
            <w:r>
              <w:lastRenderedPageBreak/>
              <w:t>Zweimal t</w:t>
            </w:r>
            <w:r w:rsidR="000A451D">
              <w:t xml:space="preserve">äglich 2 Kapseln mit </w:t>
            </w:r>
            <w:r>
              <w:t>reichlich</w:t>
            </w:r>
            <w:r w:rsidR="000A451D">
              <w:t xml:space="preserve"> Flüssigkeit einnehmen</w:t>
            </w:r>
            <w:r>
              <w:t>, vorzugsweise zu oder nach einer Mahlzeit</w:t>
            </w:r>
            <w:r w:rsidR="000A451D">
              <w:t>.</w:t>
            </w:r>
          </w:p>
          <w:p w:rsidR="000A451D" w:rsidRDefault="000A451D" w:rsidP="009C23DB">
            <w:pPr>
              <w:pStyle w:val="KeinLeerraum"/>
            </w:pPr>
          </w:p>
          <w:p w:rsidR="000A451D" w:rsidRPr="0065356C" w:rsidRDefault="00354444" w:rsidP="0065356C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Nährwertangaben &lt;/h8&gt;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tbl>
      <w:tblPr>
        <w:tblW w:w="85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1079"/>
        <w:gridCol w:w="1462"/>
      </w:tblGrid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077CA9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FB251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>Nährwert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>angaben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077CA9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FB251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pro 100 g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  <w:r w:rsidR="00077CA9" w:rsidRPr="00FB251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pro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>4</w:t>
            </w:r>
            <w:r w:rsidR="00077C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Kapseln</w:t>
            </w:r>
            <w:r w:rsidR="00077CA9" w:rsidRPr="00FB251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>*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(NRV)</w:t>
            </w: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Magnesium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2160 mg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  56,2 mg (15%)</w:t>
            </w: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Zink</w:t>
            </w:r>
            <w:r w:rsidR="00077CA9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59</w:t>
            </w:r>
            <w:r w:rsidR="00077CA9" w:rsidRPr="00FB2517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m</w:t>
            </w:r>
            <w:r w:rsidR="00077CA9" w:rsidRPr="00FB2517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  1,5 mg (15%)</w:t>
            </w: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L-Arginin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19000 mg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CA9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  500 mg</w:t>
            </w: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  <w:r w:rsidRPr="00FB2517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* 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mpfohlene Tagesverzehrmenge / NRV: Prozent der</w:t>
            </w:r>
            <w:r w:rsidR="001E1C08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  <w:t>Nährstoffbezugswerte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65356C" w:rsidRPr="00FB2517" w:rsidTr="001E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5356C" w:rsidRPr="00FB2517" w:rsidRDefault="0065356C" w:rsidP="000E3F13">
            <w:pPr>
              <w:spacing w:after="30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C65"/>
    <w:rsid w:val="00072C10"/>
    <w:rsid w:val="00077CA9"/>
    <w:rsid w:val="000919E5"/>
    <w:rsid w:val="000A451D"/>
    <w:rsid w:val="000B663A"/>
    <w:rsid w:val="00151D42"/>
    <w:rsid w:val="0018611A"/>
    <w:rsid w:val="001E1C08"/>
    <w:rsid w:val="001E3E53"/>
    <w:rsid w:val="0028422F"/>
    <w:rsid w:val="00354444"/>
    <w:rsid w:val="003F3C85"/>
    <w:rsid w:val="0041265B"/>
    <w:rsid w:val="00440F23"/>
    <w:rsid w:val="004B3D1C"/>
    <w:rsid w:val="00523133"/>
    <w:rsid w:val="005B09E0"/>
    <w:rsid w:val="006110EB"/>
    <w:rsid w:val="0065356C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8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5</cp:revision>
  <cp:lastPrinted>2018-09-10T12:29:00Z</cp:lastPrinted>
  <dcterms:created xsi:type="dcterms:W3CDTF">2018-11-23T14:57:00Z</dcterms:created>
  <dcterms:modified xsi:type="dcterms:W3CDTF">2019-02-19T09:07:00Z</dcterms:modified>
</cp:coreProperties>
</file>