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756774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74" w:rsidRPr="00756774" w:rsidRDefault="009C23DB" w:rsidP="00756774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56774" w:rsidRPr="00756774">
              <w:rPr>
                <w:b/>
                <w:bCs/>
              </w:rPr>
              <w:t>12479901</w:t>
            </w:r>
          </w:p>
          <w:p w:rsidR="009C23DB" w:rsidRDefault="009C23DB" w:rsidP="0075677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56774" w:rsidRPr="00756774" w:rsidRDefault="009C23DB" w:rsidP="00756774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756774" w:rsidRPr="00756774">
              <w:rPr>
                <w:b/>
              </w:rPr>
              <w:t>D-</w:t>
            </w:r>
            <w:proofErr w:type="spellStart"/>
            <w:r w:rsidR="00756774" w:rsidRPr="00756774">
              <w:rPr>
                <w:b/>
              </w:rPr>
              <w:t>Galactose</w:t>
            </w:r>
            <w:proofErr w:type="spellEnd"/>
            <w:r w:rsidR="00756774" w:rsidRPr="00756774">
              <w:rPr>
                <w:b/>
              </w:rPr>
              <w:t xml:space="preserve"> ist ein mit der Glucose verwandter Einfachzucker.</w:t>
            </w:r>
          </w:p>
          <w:p w:rsidR="00756774" w:rsidRPr="00756774" w:rsidRDefault="009C23DB" w:rsidP="00756774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56774" w:rsidRPr="00756774">
              <w:rPr>
                <w:b/>
              </w:rPr>
              <w:t>D-</w:t>
            </w:r>
            <w:proofErr w:type="spellStart"/>
            <w:r w:rsidR="00756774" w:rsidRPr="00756774">
              <w:rPr>
                <w:b/>
              </w:rPr>
              <w:t>Galactose</w:t>
            </w:r>
            <w:proofErr w:type="spellEnd"/>
            <w:r w:rsidR="00756774">
              <w:rPr>
                <w:b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756774" w:rsidRPr="00756774">
              <w:t>D-</w:t>
            </w:r>
            <w:proofErr w:type="spellStart"/>
            <w:r w:rsidR="00756774" w:rsidRPr="00756774">
              <w:t>Galactose</w:t>
            </w:r>
            <w:proofErr w:type="spellEnd"/>
            <w:r w:rsidR="00756774" w:rsidRPr="00756774">
              <w:t xml:space="preserve"> ist ein natürlich vorkommender, mit der Glucose verwandter Einfachzucker. Sie wird über einen anderen Transportmechanismus als Glucose in die Zellen aufgenommen, wo sie dann in Glucose umgewandelt wird.</w:t>
            </w:r>
          </w:p>
          <w:p w:rsidR="00FB2599" w:rsidRPr="00756774" w:rsidRDefault="00FB2599" w:rsidP="00756774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756774">
              <w:rPr>
                <w:b/>
              </w:rPr>
              <w:br/>
            </w:r>
            <w:r w:rsidRPr="008707D0">
              <w:t>Im bayerischen Rohrbach an der Ilm entwickelt, produziert und vertreibt Raab Vitalfoo</w:t>
            </w:r>
            <w:bookmarkStart w:id="0" w:name="_GoBack"/>
            <w:bookmarkEnd w:id="0"/>
            <w:r w:rsidRPr="008707D0">
              <w:t>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756774" w:rsidRPr="00756774" w:rsidRDefault="009C23DB" w:rsidP="00756774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756774" w:rsidRPr="00756774">
              <w:t>Kann geringe Mengen von Fett, Eiweiß und Salz enthalten.</w:t>
            </w:r>
            <w:r w:rsidR="00756774">
              <w:br/>
            </w:r>
            <w:r w:rsidR="00756774" w:rsidRPr="00756774">
              <w:t xml:space="preserve">Nicht geeignet für Menschen, die unter </w:t>
            </w:r>
            <w:proofErr w:type="spellStart"/>
            <w:r w:rsidR="00756774" w:rsidRPr="00756774">
              <w:t>Galactosämie</w:t>
            </w:r>
            <w:proofErr w:type="spellEnd"/>
            <w:r w:rsidR="00756774" w:rsidRPr="00756774">
              <w:t xml:space="preserve"> leiden (seltene, angeborene Störung des </w:t>
            </w:r>
            <w:proofErr w:type="spellStart"/>
            <w:r w:rsidR="00756774" w:rsidRPr="00756774">
              <w:t>Galactosestoffwechsels</w:t>
            </w:r>
            <w:proofErr w:type="spellEnd"/>
            <w:r w:rsidR="00756774" w:rsidRPr="00756774">
              <w:t>). Nicht während der Schwangerschaft / Stillzeit verzehren.</w:t>
            </w:r>
            <w:r w:rsidR="00756774">
              <w:br/>
            </w:r>
            <w:r w:rsidR="00756774" w:rsidRPr="00756774">
              <w:t>Kühl, trocken und gut verschlossen lagern. Füllhöhe technisch bedingt.</w:t>
            </w:r>
          </w:p>
          <w:p w:rsidR="00244900" w:rsidRPr="00244900" w:rsidRDefault="00440F23" w:rsidP="00756774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>Inhalt = 200 g</w:t>
            </w:r>
          </w:p>
          <w:p w:rsidR="00244900" w:rsidRPr="00756774" w:rsidRDefault="00440F23" w:rsidP="00756774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56774" w:rsidRPr="00756774">
              <w:t>100 % D-</w:t>
            </w:r>
            <w:proofErr w:type="spellStart"/>
            <w:r w:rsidR="00756774" w:rsidRPr="00756774">
              <w:t>Galactose</w:t>
            </w:r>
            <w:proofErr w:type="spellEnd"/>
            <w:r w:rsidR="00756774" w:rsidRPr="00756774">
              <w:t xml:space="preserve"> (aus Milch).</w:t>
            </w:r>
          </w:p>
          <w:p w:rsidR="00244900" w:rsidRPr="00756774" w:rsidRDefault="00440F23" w:rsidP="00756774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56774" w:rsidRPr="00756774">
              <w:rPr>
                <w:bCs/>
              </w:rPr>
              <w:t>2mal täglich ca. 1,5 TL (je 4 g) D-</w:t>
            </w:r>
            <w:proofErr w:type="spellStart"/>
            <w:r w:rsidR="00756774" w:rsidRPr="00756774">
              <w:rPr>
                <w:bCs/>
              </w:rPr>
              <w:t>Galactose</w:t>
            </w:r>
            <w:proofErr w:type="spellEnd"/>
            <w:r w:rsidR="00756774" w:rsidRPr="00756774">
              <w:rPr>
                <w:bCs/>
              </w:rPr>
              <w:t xml:space="preserve"> in einem Glas Wasser auflösen und trinken. Aufgrund des süßen Geschmacks kann D-</w:t>
            </w:r>
            <w:proofErr w:type="spellStart"/>
            <w:r w:rsidR="00756774" w:rsidRPr="00756774">
              <w:rPr>
                <w:bCs/>
              </w:rPr>
              <w:t>Galactose</w:t>
            </w:r>
            <w:proofErr w:type="spellEnd"/>
            <w:r w:rsidR="00756774" w:rsidRPr="00756774">
              <w:rPr>
                <w:bCs/>
              </w:rPr>
              <w:t xml:space="preserve"> auch zum Süßen von Getränken (z.B. Tee) verwendet werden. Am besten zwischen den Mahlzeiten einnehmen.</w:t>
            </w:r>
          </w:p>
          <w:p w:rsidR="000318D7" w:rsidRPr="00B631B5" w:rsidRDefault="000318D7" w:rsidP="0075677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  <w:gridCol w:w="1627"/>
              <w:gridCol w:w="1430"/>
            </w:tblGrid>
            <w:tr w:rsidR="00756774" w:rsidRPr="00756774" w:rsidTr="00756774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6774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6774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6774">
                    <w:rPr>
                      <w:b/>
                      <w:bCs/>
                    </w:rPr>
                    <w:t>pro 8 g *</w:t>
                  </w:r>
                </w:p>
              </w:tc>
            </w:tr>
            <w:tr w:rsidR="00756774" w:rsidRPr="00756774" w:rsidTr="007567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1700 kJ / 400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136 kJ / 32 kcal</w:t>
                  </w:r>
                </w:p>
              </w:tc>
            </w:tr>
            <w:tr w:rsidR="00756774" w:rsidRPr="00756774" w:rsidTr="007567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8 g</w:t>
                  </w:r>
                </w:p>
              </w:tc>
            </w:tr>
            <w:tr w:rsidR="00756774" w:rsidRPr="00756774" w:rsidTr="007567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lastRenderedPageBreak/>
                    <w:t>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8 g</w:t>
                  </w:r>
                </w:p>
              </w:tc>
            </w:tr>
            <w:tr w:rsidR="00756774" w:rsidRPr="00756774" w:rsidTr="007567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</w:p>
              </w:tc>
            </w:tr>
            <w:tr w:rsidR="00756774" w:rsidRPr="00756774" w:rsidTr="007567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  <w:r w:rsidRPr="00756774">
                    <w:t>* entspricht einer Tagesportion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56774" w:rsidRPr="00756774" w:rsidRDefault="00756774" w:rsidP="00756774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756774"/>
          <w:p w:rsidR="009C23DB" w:rsidRPr="009C23DB" w:rsidRDefault="009C23DB" w:rsidP="00756774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756774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56774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F9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3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0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2019-08-22T14:18:00Z</cp:lastPrinted>
  <dcterms:created xsi:type="dcterms:W3CDTF">2019-08-22T14:23:00Z</dcterms:created>
  <dcterms:modified xsi:type="dcterms:W3CDTF">2019-08-22T14:23:00Z</dcterms:modified>
</cp:coreProperties>
</file>