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D20EB57"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CEEB84C" w14:textId="77777777" w:rsidR="009C23DB" w:rsidRPr="00A71A10" w:rsidRDefault="009C23DB" w:rsidP="009C23DB">
            <w:pPr>
              <w:spacing w:after="0" w:line="240" w:lineRule="auto"/>
              <w:rPr>
                <w:rFonts w:eastAsia="Times New Roman"/>
                <w:color w:val="000000"/>
                <w:lang w:eastAsia="de-DE"/>
              </w:rPr>
            </w:pPr>
          </w:p>
        </w:tc>
      </w:tr>
      <w:tr w:rsidR="009C23DB" w:rsidRPr="001734D2" w14:paraId="281718A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2F13722" w14:textId="0088904B" w:rsidR="009C23DB" w:rsidRPr="00896F23" w:rsidRDefault="009C23DB" w:rsidP="009C23DB">
            <w:r>
              <w:rPr>
                <w:b/>
                <w:i/>
              </w:rPr>
              <w:t>PZN:</w:t>
            </w:r>
            <w:r>
              <w:rPr>
                <w:b/>
                <w:i/>
              </w:rPr>
              <w:br/>
            </w:r>
            <w:r w:rsidR="008C510C">
              <w:rPr>
                <w:b/>
                <w:bCs/>
              </w:rPr>
              <w:t>014 543 35</w:t>
            </w:r>
            <w:r w:rsidR="00F631EC">
              <w:rPr>
                <w:b/>
                <w:bCs/>
              </w:rPr>
              <w:t xml:space="preserve"> | </w:t>
            </w:r>
            <w:r w:rsidR="00F631EC" w:rsidRPr="00F631EC">
              <w:rPr>
                <w:b/>
                <w:bCs/>
              </w:rPr>
              <w:t>N-74160</w:t>
            </w:r>
          </w:p>
          <w:p w14:paraId="6ADCD49D" w14:textId="77777777" w:rsidR="009C23DB" w:rsidRDefault="009C23DB" w:rsidP="009C23DB">
            <w:pPr>
              <w:rPr>
                <w:b/>
                <w:i/>
              </w:rPr>
            </w:pPr>
            <w:proofErr w:type="spellStart"/>
            <w:r>
              <w:rPr>
                <w:b/>
                <w:i/>
              </w:rPr>
              <w:t>USP’s</w:t>
            </w:r>
            <w:proofErr w:type="spellEnd"/>
            <w:r>
              <w:rPr>
                <w:b/>
                <w:i/>
              </w:rPr>
              <w:t>:</w:t>
            </w:r>
          </w:p>
          <w:p w14:paraId="34D56CE4" w14:textId="77777777" w:rsidR="008C510C" w:rsidRPr="008C510C" w:rsidRDefault="009C23DB" w:rsidP="008C510C">
            <w:pPr>
              <w:pStyle w:val="StandardWeb"/>
              <w:rPr>
                <w:rFonts w:eastAsia="Times New Roman"/>
                <w:color w:val="000000"/>
                <w:lang w:eastAsia="de-DE"/>
              </w:rPr>
            </w:pPr>
            <w:r w:rsidRPr="008C510C">
              <w:rPr>
                <w:rFonts w:ascii="Calibri" w:eastAsia="Times New Roman" w:hAnsi="Calibri"/>
                <w:color w:val="000000"/>
                <w:sz w:val="22"/>
                <w:szCs w:val="22"/>
                <w:lang w:eastAsia="de-DE"/>
              </w:rPr>
              <w:t xml:space="preserve">- </w:t>
            </w:r>
            <w:r w:rsidR="00237222" w:rsidRPr="008C510C">
              <w:rPr>
                <w:rFonts w:ascii="Calibri" w:eastAsia="Times New Roman" w:hAnsi="Calibri"/>
                <w:color w:val="000000"/>
                <w:sz w:val="22"/>
                <w:szCs w:val="22"/>
                <w:lang w:eastAsia="de-DE"/>
              </w:rPr>
              <w:t xml:space="preserve"> </w:t>
            </w:r>
            <w:r w:rsidR="008C510C" w:rsidRPr="008C510C">
              <w:rPr>
                <w:rFonts w:ascii="Calibri" w:eastAsia="Times New Roman" w:hAnsi="Calibri"/>
                <w:color w:val="000000"/>
                <w:sz w:val="22"/>
                <w:szCs w:val="22"/>
                <w:lang w:eastAsia="de-DE"/>
              </w:rPr>
              <w:t>Die Ameisenköder bekämpfen vorbeugend und akut Ameisen im Haus und Garten.</w:t>
            </w:r>
          </w:p>
          <w:p w14:paraId="7ABF495B" w14:textId="77777777" w:rsidR="00BC69B5" w:rsidRPr="00BC69B5" w:rsidRDefault="00BC69B5" w:rsidP="00BC69B5">
            <w:pPr>
              <w:rPr>
                <w:b/>
              </w:rPr>
            </w:pPr>
            <w:r>
              <w:rPr>
                <w:b/>
              </w:rPr>
              <w:t xml:space="preserve">&lt;h2&gt; </w:t>
            </w:r>
            <w:r w:rsidR="008C510C">
              <w:rPr>
                <w:b/>
              </w:rPr>
              <w:t>Ameisen-Köder-Box</w:t>
            </w:r>
            <w:r w:rsidRPr="009C23DB">
              <w:rPr>
                <w:b/>
              </w:rPr>
              <w:t xml:space="preserve"> </w:t>
            </w:r>
            <w:r>
              <w:rPr>
                <w:b/>
              </w:rPr>
              <w:t>&lt;/h2&gt;</w:t>
            </w:r>
          </w:p>
          <w:p w14:paraId="50BE77BF" w14:textId="77777777" w:rsidR="009C23DB" w:rsidRDefault="008C510C" w:rsidP="001734D2">
            <w:pPr>
              <w:pStyle w:val="StandardWeb"/>
              <w:rPr>
                <w:rFonts w:ascii="Calibri" w:eastAsia="Times New Roman" w:hAnsi="Calibri"/>
                <w:color w:val="000000"/>
                <w:sz w:val="22"/>
                <w:szCs w:val="22"/>
                <w:lang w:eastAsia="de-DE"/>
              </w:rPr>
            </w:pPr>
            <w:r w:rsidRPr="008C510C">
              <w:rPr>
                <w:rFonts w:ascii="Calibri" w:eastAsia="Times New Roman" w:hAnsi="Calibri"/>
                <w:color w:val="000000"/>
                <w:sz w:val="22"/>
                <w:szCs w:val="22"/>
                <w:lang w:eastAsia="de-DE"/>
              </w:rPr>
              <w:t>Der Ameisenköder von BRAECO bekämpft Ameisen und kriechende Insekten.</w:t>
            </w:r>
          </w:p>
          <w:p w14:paraId="3604B43A" w14:textId="797ACFE6" w:rsidR="001734D2" w:rsidRPr="00BC69B5" w:rsidRDefault="001734D2" w:rsidP="001734D2">
            <w:pPr>
              <w:rPr>
                <w:b/>
              </w:rPr>
            </w:pPr>
            <w:r>
              <w:rPr>
                <w:b/>
              </w:rPr>
              <w:t>&lt;h3&gt; Hinweis</w:t>
            </w:r>
            <w:r w:rsidRPr="009C23DB">
              <w:rPr>
                <w:b/>
              </w:rPr>
              <w:t xml:space="preserve"> </w:t>
            </w:r>
            <w:r>
              <w:rPr>
                <w:b/>
              </w:rPr>
              <w:t>&lt;/h3&gt;</w:t>
            </w:r>
          </w:p>
          <w:p w14:paraId="15797ADD"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 xml:space="preserve">Das Produkt ist für den menschlichen Organismus schädlich und darf nicht verzehrt werden. Nur zur Vernichtung von Insekten gemäß Gebrauchsanleitung verwenden. </w:t>
            </w:r>
            <w:proofErr w:type="gramStart"/>
            <w:r w:rsidRPr="001734D2">
              <w:rPr>
                <w:rFonts w:ascii="Calibri" w:eastAsia="Times New Roman" w:hAnsi="Calibri"/>
                <w:color w:val="000000"/>
                <w:sz w:val="22"/>
                <w:szCs w:val="22"/>
                <w:lang w:eastAsia="de-DE"/>
              </w:rPr>
              <w:t>Darf</w:t>
            </w:r>
            <w:proofErr w:type="gramEnd"/>
            <w:r w:rsidRPr="001734D2">
              <w:rPr>
                <w:rFonts w:ascii="Calibri" w:eastAsia="Times New Roman" w:hAnsi="Calibri"/>
                <w:color w:val="000000"/>
                <w:sz w:val="22"/>
                <w:szCs w:val="22"/>
                <w:lang w:eastAsia="de-DE"/>
              </w:rPr>
              <w:t xml:space="preserve"> nicht in die Hände von Kindern gelangen. Von Haustieren fernhalten. Köder vor Beschädigung schützen, gebrauchte Köder entsorgen. Kühl und trocken </w:t>
            </w:r>
            <w:proofErr w:type="gramStart"/>
            <w:r w:rsidRPr="001734D2">
              <w:rPr>
                <w:rFonts w:ascii="Calibri" w:eastAsia="Times New Roman" w:hAnsi="Calibri"/>
                <w:color w:val="000000"/>
                <w:sz w:val="22"/>
                <w:szCs w:val="22"/>
                <w:lang w:eastAsia="de-DE"/>
              </w:rPr>
              <w:t>im geschlossenem Behälter</w:t>
            </w:r>
            <w:proofErr w:type="gramEnd"/>
            <w:r w:rsidRPr="001734D2">
              <w:rPr>
                <w:rFonts w:ascii="Calibri" w:eastAsia="Times New Roman" w:hAnsi="Calibri"/>
                <w:color w:val="000000"/>
                <w:sz w:val="22"/>
                <w:szCs w:val="22"/>
                <w:lang w:eastAsia="de-DE"/>
              </w:rPr>
              <w:t xml:space="preserve"> aufbewahren und vor Sonnenschein und extremer Hitze schützen.</w:t>
            </w:r>
          </w:p>
          <w:p w14:paraId="16E6E015" w14:textId="11001EEC" w:rsidR="001734D2" w:rsidRPr="00BC69B5" w:rsidRDefault="001734D2" w:rsidP="001734D2">
            <w:pPr>
              <w:rPr>
                <w:b/>
              </w:rPr>
            </w:pPr>
            <w:r>
              <w:rPr>
                <w:b/>
              </w:rPr>
              <w:t>&lt;h4&gt; Erste Hilfe</w:t>
            </w:r>
            <w:r w:rsidRPr="009C23DB">
              <w:rPr>
                <w:b/>
              </w:rPr>
              <w:t xml:space="preserve"> </w:t>
            </w:r>
            <w:r>
              <w:rPr>
                <w:b/>
              </w:rPr>
              <w:t>&lt;/h4&gt;</w:t>
            </w:r>
          </w:p>
          <w:p w14:paraId="6FA71B30" w14:textId="6E9C517A"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Allgemein:</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Betroffene aus dem Gefahrenbereich bringen und mit Produkt verunreinigte Kleidungsstücke entfernen. Bei Auftreten von Gesundheitsstörungen Arzt hinzuziehen.</w:t>
            </w:r>
          </w:p>
          <w:p w14:paraId="59FA2061" w14:textId="1F63B98D"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Nach Einatmen:</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Betroffene Person an die frische Luft bringen und in einer Position ruhigstellen, die das Atmen erleichtert. Bei Auftreten von Symptomen einen Arzt aufsuchen.</w:t>
            </w:r>
          </w:p>
          <w:p w14:paraId="138B3B8E" w14:textId="3C3E46E1"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Nach Hautkontakt:</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Kontaminierte Haut mit Wasser und Seife abwaschen. Verschmutzte Kleidung und Schuhe ausziehen. Bei Auftreten von Symptomen ärztlichen Rat suchen.</w:t>
            </w:r>
          </w:p>
          <w:p w14:paraId="2839689E" w14:textId="6690D224"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Nach Augenkontakt:</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 xml:space="preserve">Mit viel Wasser ca. 10 Minuten bei geöffnetem </w:t>
            </w:r>
            <w:proofErr w:type="spellStart"/>
            <w:r w:rsidRPr="001734D2">
              <w:rPr>
                <w:rFonts w:ascii="Calibri" w:eastAsia="Times New Roman" w:hAnsi="Calibri"/>
                <w:color w:val="000000"/>
                <w:sz w:val="22"/>
                <w:szCs w:val="22"/>
                <w:lang w:eastAsia="de-DE"/>
              </w:rPr>
              <w:t>Lidspalt</w:t>
            </w:r>
            <w:proofErr w:type="spellEnd"/>
            <w:r w:rsidRPr="001734D2">
              <w:rPr>
                <w:rFonts w:ascii="Calibri" w:eastAsia="Times New Roman" w:hAnsi="Calibri"/>
                <w:color w:val="000000"/>
                <w:sz w:val="22"/>
                <w:szCs w:val="22"/>
                <w:lang w:eastAsia="de-DE"/>
              </w:rPr>
              <w:t xml:space="preserve"> das Auge spülen. Wenn vorhanden, Kontaktlinsen entfernen. Bei Auftreten von Reizungen einen Augenarzt aufsuchen.</w:t>
            </w:r>
          </w:p>
          <w:p w14:paraId="279FECDC"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Nach Verschlucken:</w:t>
            </w:r>
            <w:r>
              <w:rPr>
                <w:rFonts w:ascii="Calibri" w:eastAsia="Times New Roman" w:hAnsi="Calibri"/>
                <w:color w:val="000000"/>
                <w:sz w:val="22"/>
                <w:szCs w:val="22"/>
                <w:lang w:eastAsia="de-DE"/>
              </w:rPr>
              <w:br/>
            </w:r>
            <w:r w:rsidRPr="001734D2">
              <w:rPr>
                <w:rFonts w:ascii="Calibri" w:eastAsia="Times New Roman" w:hAnsi="Calibri"/>
                <w:color w:val="000000"/>
                <w:sz w:val="22"/>
                <w:szCs w:val="22"/>
                <w:lang w:eastAsia="de-DE"/>
              </w:rPr>
              <w:t>Kein Erbrechen auslösen. Wenn die Person bei Bewusstsein ist, Mund mit viel Wasser ausspülen und reichlich (300 bis 500 ml) Wasser in kleinen Schlucken verabreichen (Verdünnungseffekt). Bei Auftreten von Symptomen ärztlichen Rat suchen.</w:t>
            </w:r>
          </w:p>
          <w:p w14:paraId="3D4E7B2E" w14:textId="1026A37A" w:rsidR="001734D2" w:rsidRPr="00BC69B5" w:rsidRDefault="001734D2" w:rsidP="001734D2">
            <w:pPr>
              <w:rPr>
                <w:b/>
              </w:rPr>
            </w:pPr>
            <w:r>
              <w:rPr>
                <w:b/>
              </w:rPr>
              <w:t>&lt;h5&gt; Netto-Füllmenge</w:t>
            </w:r>
            <w:r w:rsidRPr="009C23DB">
              <w:rPr>
                <w:b/>
              </w:rPr>
              <w:t xml:space="preserve"> </w:t>
            </w:r>
            <w:r>
              <w:rPr>
                <w:b/>
              </w:rPr>
              <w:t>&lt;/h5&gt;</w:t>
            </w:r>
          </w:p>
          <w:p w14:paraId="06D86397" w14:textId="296CEF79" w:rsidR="001734D2" w:rsidRDefault="001734D2" w:rsidP="001734D2">
            <w:pPr>
              <w:pStyle w:val="StandardWeb"/>
              <w:rPr>
                <w:rFonts w:ascii="Calibri" w:eastAsia="Times New Roman" w:hAnsi="Calibri"/>
                <w:color w:val="000000"/>
                <w:sz w:val="22"/>
                <w:szCs w:val="22"/>
                <w:lang w:eastAsia="de-DE"/>
              </w:rPr>
            </w:pPr>
            <w:r>
              <w:rPr>
                <w:rFonts w:ascii="Calibri" w:eastAsia="Times New Roman" w:hAnsi="Calibri"/>
                <w:color w:val="000000"/>
                <w:sz w:val="22"/>
                <w:szCs w:val="22"/>
                <w:lang w:eastAsia="de-DE"/>
              </w:rPr>
              <w:t>Inhalt = 3 Stück</w:t>
            </w:r>
          </w:p>
          <w:p w14:paraId="45416F57" w14:textId="6512A351" w:rsidR="001734D2" w:rsidRPr="00BC69B5" w:rsidRDefault="001734D2" w:rsidP="001734D2">
            <w:pPr>
              <w:rPr>
                <w:b/>
              </w:rPr>
            </w:pPr>
            <w:r>
              <w:rPr>
                <w:b/>
              </w:rPr>
              <w:t>&lt;h6&gt; Anwendung</w:t>
            </w:r>
            <w:r w:rsidRPr="009C23DB">
              <w:rPr>
                <w:b/>
              </w:rPr>
              <w:t xml:space="preserve"> </w:t>
            </w:r>
            <w:r>
              <w:rPr>
                <w:b/>
              </w:rPr>
              <w:t>&lt;/h6&gt;</w:t>
            </w:r>
          </w:p>
          <w:p w14:paraId="386354F5"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Für eine erfolgreiche Anwendung ist die Beachtung der nachstehenden Information und Gebrauchsanleitung unumgänglich:</w:t>
            </w:r>
          </w:p>
          <w:p w14:paraId="3C4A7738" w14:textId="6ED9E642"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1. Ameisenköder aus der Verpackung nehmen.</w:t>
            </w:r>
          </w:p>
          <w:p w14:paraId="6AA65A2D"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lastRenderedPageBreak/>
              <w:t>2. Anwendungsbereiche: Wohn- und Vorratsräume, Küche, Bad, Terrassen und Wintergärten, Wege und Plätze, auch in Räumen von Nahrungs- und Genussmittelherstellern, Gaststätten etc.</w:t>
            </w:r>
          </w:p>
          <w:p w14:paraId="626C4CCB"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3. Normalerweise 2 Köder je 10 m2, bei starkem Befall mehr Köder an verschiedenen Orten aufstellen, dabei auf Schutz vor Feuchtigkeit und starker Erwärmung achten.</w:t>
            </w:r>
          </w:p>
          <w:p w14:paraId="035A7532"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4. Köder nach 3 Monaten Erstaufstellung austauschen, gebrauchte Köder in Papier einwickeln und mit dem Restmüll entsorgen.</w:t>
            </w:r>
          </w:p>
          <w:p w14:paraId="6799A841"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5. Köder zum Schutz vor Wiederbefall nicht entfernen</w:t>
            </w:r>
          </w:p>
          <w:p w14:paraId="43793E8C" w14:textId="77777777" w:rsid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6. Köderboxen nicht gewaltsam öffnen.</w:t>
            </w:r>
          </w:p>
          <w:p w14:paraId="78D17580" w14:textId="77777777" w:rsidR="001734D2" w:rsidRDefault="001734D2" w:rsidP="001734D2">
            <w:pPr>
              <w:rPr>
                <w:b/>
              </w:rPr>
            </w:pPr>
          </w:p>
          <w:p w14:paraId="1D615B73" w14:textId="34F3B873" w:rsidR="001734D2" w:rsidRPr="00BC69B5" w:rsidRDefault="001734D2" w:rsidP="001734D2">
            <w:pPr>
              <w:rPr>
                <w:b/>
              </w:rPr>
            </w:pPr>
            <w:r>
              <w:rPr>
                <w:b/>
              </w:rPr>
              <w:t>&lt;h7&gt; Inhaltsstoffe</w:t>
            </w:r>
            <w:r w:rsidRPr="009C23DB">
              <w:rPr>
                <w:b/>
              </w:rPr>
              <w:t xml:space="preserve"> </w:t>
            </w:r>
            <w:r>
              <w:rPr>
                <w:b/>
              </w:rPr>
              <w:t>&lt;/h7&gt;</w:t>
            </w:r>
          </w:p>
          <w:p w14:paraId="19CB520A" w14:textId="204EA1C7" w:rsidR="001734D2" w:rsidRPr="001734D2" w:rsidRDefault="001734D2" w:rsidP="001734D2">
            <w:pPr>
              <w:pStyle w:val="StandardWeb"/>
              <w:rPr>
                <w:rFonts w:ascii="Calibri" w:eastAsia="Times New Roman" w:hAnsi="Calibri"/>
                <w:color w:val="000000"/>
                <w:sz w:val="22"/>
                <w:szCs w:val="22"/>
                <w:lang w:eastAsia="de-DE"/>
              </w:rPr>
            </w:pPr>
            <w:r w:rsidRPr="001734D2">
              <w:rPr>
                <w:rFonts w:ascii="Calibri" w:eastAsia="Times New Roman" w:hAnsi="Calibri"/>
                <w:color w:val="000000"/>
                <w:sz w:val="22"/>
                <w:szCs w:val="22"/>
                <w:lang w:eastAsia="de-DE"/>
              </w:rPr>
              <w:t xml:space="preserve">Enthält </w:t>
            </w:r>
            <w:proofErr w:type="spellStart"/>
            <w:r w:rsidRPr="001734D2">
              <w:rPr>
                <w:rFonts w:ascii="Calibri" w:eastAsia="Times New Roman" w:hAnsi="Calibri"/>
                <w:color w:val="000000"/>
                <w:sz w:val="22"/>
                <w:szCs w:val="22"/>
                <w:lang w:eastAsia="de-DE"/>
              </w:rPr>
              <w:t>Cypermethrin</w:t>
            </w:r>
            <w:proofErr w:type="spellEnd"/>
            <w:r w:rsidRPr="001734D2">
              <w:rPr>
                <w:rFonts w:ascii="Calibri" w:eastAsia="Times New Roman" w:hAnsi="Calibri"/>
                <w:color w:val="000000"/>
                <w:sz w:val="22"/>
                <w:szCs w:val="22"/>
                <w:lang w:eastAsia="de-DE"/>
              </w:rPr>
              <w:t xml:space="preserve">, </w:t>
            </w:r>
            <w:proofErr w:type="spellStart"/>
            <w:r w:rsidRPr="001734D2">
              <w:rPr>
                <w:rFonts w:ascii="Calibri" w:eastAsia="Times New Roman" w:hAnsi="Calibri"/>
                <w:color w:val="000000"/>
                <w:sz w:val="22"/>
                <w:szCs w:val="22"/>
                <w:lang w:eastAsia="de-DE"/>
              </w:rPr>
              <w:t>Piperonylbutoxid</w:t>
            </w:r>
            <w:proofErr w:type="spellEnd"/>
            <w:r w:rsidRPr="001734D2">
              <w:rPr>
                <w:rFonts w:ascii="Calibri" w:eastAsia="Times New Roman" w:hAnsi="Calibri"/>
                <w:color w:val="000000"/>
                <w:sz w:val="22"/>
                <w:szCs w:val="22"/>
                <w:lang w:eastAsia="de-DE"/>
              </w:rPr>
              <w:t xml:space="preserve">, Geraniol, </w:t>
            </w:r>
            <w:proofErr w:type="spellStart"/>
            <w:r w:rsidRPr="001734D2">
              <w:rPr>
                <w:rFonts w:ascii="Calibri" w:eastAsia="Times New Roman" w:hAnsi="Calibri"/>
                <w:color w:val="000000"/>
                <w:sz w:val="22"/>
                <w:szCs w:val="22"/>
                <w:lang w:eastAsia="de-DE"/>
              </w:rPr>
              <w:t>Bronopol</w:t>
            </w:r>
            <w:proofErr w:type="spellEnd"/>
            <w:r w:rsidRPr="001734D2">
              <w:rPr>
                <w:rFonts w:ascii="Calibri" w:eastAsia="Times New Roman" w:hAnsi="Calibri"/>
                <w:color w:val="000000"/>
                <w:sz w:val="22"/>
                <w:szCs w:val="22"/>
                <w:lang w:eastAsia="de-DE"/>
              </w:rPr>
              <w:t xml:space="preserve">, </w:t>
            </w:r>
            <w:proofErr w:type="spellStart"/>
            <w:r w:rsidRPr="001734D2">
              <w:rPr>
                <w:rFonts w:ascii="Calibri" w:eastAsia="Times New Roman" w:hAnsi="Calibri"/>
                <w:color w:val="000000"/>
                <w:sz w:val="22"/>
                <w:szCs w:val="22"/>
                <w:lang w:eastAsia="de-DE"/>
              </w:rPr>
              <w:t>Denatoniumbenzoat</w:t>
            </w:r>
            <w:proofErr w:type="spellEnd"/>
            <w:r w:rsidRPr="001734D2">
              <w:rPr>
                <w:rFonts w:ascii="Calibri" w:eastAsia="Times New Roman" w:hAnsi="Calibri"/>
                <w:color w:val="000000"/>
                <w:sz w:val="22"/>
                <w:szCs w:val="22"/>
                <w:lang w:eastAsia="de-DE"/>
              </w:rPr>
              <w:t xml:space="preserve"> und ein Gemisch aus 5-Chlor-2-methyl-2H-isothiazol-3-on (CAS 26172-55-4)</w:t>
            </w:r>
            <w:r>
              <w:rPr>
                <w:rFonts w:ascii="Calibri" w:eastAsia="Times New Roman" w:hAnsi="Calibri"/>
                <w:color w:val="000000"/>
                <w:sz w:val="22"/>
                <w:szCs w:val="22"/>
                <w:lang w:eastAsia="de-DE"/>
              </w:rPr>
              <w:t xml:space="preserve"> </w:t>
            </w:r>
            <w:r w:rsidRPr="001734D2">
              <w:rPr>
                <w:rFonts w:ascii="Calibri" w:eastAsia="Times New Roman" w:hAnsi="Calibri"/>
                <w:color w:val="000000"/>
                <w:sz w:val="22"/>
                <w:szCs w:val="22"/>
                <w:lang w:eastAsia="de-DE"/>
              </w:rPr>
              <w:t>und 2-Methyl-2H-isothiazol-3-on (CAS 2682-20-4).</w:t>
            </w:r>
          </w:p>
        </w:tc>
      </w:tr>
      <w:tr w:rsidR="009C23DB" w:rsidRPr="001734D2" w14:paraId="31DB2BA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91ABD41" w14:textId="77777777" w:rsidR="009C23DB" w:rsidRPr="001734D2" w:rsidRDefault="009C23DB" w:rsidP="009C23DB">
            <w:pPr>
              <w:spacing w:after="0" w:line="240" w:lineRule="auto"/>
              <w:rPr>
                <w:rFonts w:eastAsia="Times New Roman"/>
                <w:b/>
                <w:color w:val="000000"/>
                <w:lang w:eastAsia="de-DE"/>
              </w:rPr>
            </w:pPr>
          </w:p>
        </w:tc>
      </w:tr>
    </w:tbl>
    <w:p w14:paraId="63DE5C6C" w14:textId="77777777" w:rsidR="006678D0" w:rsidRPr="001734D2" w:rsidRDefault="006678D0" w:rsidP="000B663A">
      <w:pPr>
        <w:pStyle w:val="KeinLeerraum"/>
      </w:pPr>
    </w:p>
    <w:p w14:paraId="648C74D9" w14:textId="77777777" w:rsidR="006678D0" w:rsidRPr="001734D2" w:rsidRDefault="006678D0" w:rsidP="000B663A">
      <w:pPr>
        <w:pStyle w:val="KeinLeerraum"/>
      </w:pPr>
    </w:p>
    <w:p w14:paraId="7B6B8BF5" w14:textId="77777777" w:rsidR="0018611A" w:rsidRPr="001734D2" w:rsidRDefault="0018611A" w:rsidP="000B663A">
      <w:pPr>
        <w:pStyle w:val="KeinLeerraum"/>
      </w:pPr>
    </w:p>
    <w:sectPr w:rsidR="0018611A" w:rsidRPr="001734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734D2"/>
    <w:rsid w:val="0018611A"/>
    <w:rsid w:val="00194DCC"/>
    <w:rsid w:val="001E3E53"/>
    <w:rsid w:val="00237222"/>
    <w:rsid w:val="0028422F"/>
    <w:rsid w:val="003F3C85"/>
    <w:rsid w:val="00440F23"/>
    <w:rsid w:val="004B3D1C"/>
    <w:rsid w:val="004D3974"/>
    <w:rsid w:val="00523133"/>
    <w:rsid w:val="006110EB"/>
    <w:rsid w:val="006678D0"/>
    <w:rsid w:val="006A6742"/>
    <w:rsid w:val="006C40C3"/>
    <w:rsid w:val="00734A4C"/>
    <w:rsid w:val="007356B1"/>
    <w:rsid w:val="00814F6A"/>
    <w:rsid w:val="00896F23"/>
    <w:rsid w:val="008C510C"/>
    <w:rsid w:val="009335FF"/>
    <w:rsid w:val="009A24DE"/>
    <w:rsid w:val="009C23DB"/>
    <w:rsid w:val="00A85D46"/>
    <w:rsid w:val="00BC69B5"/>
    <w:rsid w:val="00C2795A"/>
    <w:rsid w:val="00C54B46"/>
    <w:rsid w:val="00CE59CF"/>
    <w:rsid w:val="00CF625B"/>
    <w:rsid w:val="00D26DC6"/>
    <w:rsid w:val="00DC31CE"/>
    <w:rsid w:val="00DF0D38"/>
    <w:rsid w:val="00ED0582"/>
    <w:rsid w:val="00EF7B20"/>
    <w:rsid w:val="00F631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6C83"/>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23276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779873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92039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002336">
      <w:bodyDiv w:val="1"/>
      <w:marLeft w:val="0"/>
      <w:marRight w:val="0"/>
      <w:marTop w:val="0"/>
      <w:marBottom w:val="0"/>
      <w:divBdr>
        <w:top w:val="none" w:sz="0" w:space="0" w:color="auto"/>
        <w:left w:val="none" w:sz="0" w:space="0" w:color="auto"/>
        <w:bottom w:val="none" w:sz="0" w:space="0" w:color="auto"/>
        <w:right w:val="none" w:sz="0" w:space="0" w:color="auto"/>
      </w:divBdr>
    </w:div>
    <w:div w:id="4248062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7910334">
      <w:bodyDiv w:val="1"/>
      <w:marLeft w:val="0"/>
      <w:marRight w:val="0"/>
      <w:marTop w:val="0"/>
      <w:marBottom w:val="0"/>
      <w:divBdr>
        <w:top w:val="none" w:sz="0" w:space="0" w:color="auto"/>
        <w:left w:val="none" w:sz="0" w:space="0" w:color="auto"/>
        <w:bottom w:val="none" w:sz="0" w:space="0" w:color="auto"/>
        <w:right w:val="none" w:sz="0" w:space="0" w:color="auto"/>
      </w:divBdr>
    </w:div>
    <w:div w:id="537165239">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3945001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59917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42838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30557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723719">
      <w:bodyDiv w:val="1"/>
      <w:marLeft w:val="0"/>
      <w:marRight w:val="0"/>
      <w:marTop w:val="0"/>
      <w:marBottom w:val="0"/>
      <w:divBdr>
        <w:top w:val="none" w:sz="0" w:space="0" w:color="auto"/>
        <w:left w:val="none" w:sz="0" w:space="0" w:color="auto"/>
        <w:bottom w:val="none" w:sz="0" w:space="0" w:color="auto"/>
        <w:right w:val="none" w:sz="0" w:space="0" w:color="auto"/>
      </w:divBdr>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858">
      <w:bodyDiv w:val="1"/>
      <w:marLeft w:val="0"/>
      <w:marRight w:val="0"/>
      <w:marTop w:val="0"/>
      <w:marBottom w:val="0"/>
      <w:divBdr>
        <w:top w:val="none" w:sz="0" w:space="0" w:color="auto"/>
        <w:left w:val="none" w:sz="0" w:space="0" w:color="auto"/>
        <w:bottom w:val="none" w:sz="0" w:space="0" w:color="auto"/>
        <w:right w:val="none" w:sz="0" w:space="0" w:color="auto"/>
      </w:divBdr>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181649">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7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136255">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350">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358</Words>
  <Characters>2257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12</cp:revision>
  <cp:lastPrinted>2018-09-10T12:29:00Z</cp:lastPrinted>
  <dcterms:created xsi:type="dcterms:W3CDTF">2018-11-23T16:36:00Z</dcterms:created>
  <dcterms:modified xsi:type="dcterms:W3CDTF">2022-01-05T16:16:00Z</dcterms:modified>
</cp:coreProperties>
</file>